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64F69" w14:textId="156EE9E0" w:rsidR="0075660F" w:rsidRDefault="0051152A" w:rsidP="0075660F">
      <w:pPr>
        <w:jc w:val="both"/>
        <w:rPr>
          <w:sz w:val="32"/>
        </w:rPr>
      </w:pPr>
      <w:r>
        <w:rPr>
          <w:noProof/>
        </w:rPr>
        <w:drawing>
          <wp:anchor distT="0" distB="0" distL="114300" distR="114300" simplePos="0" relativeHeight="251665408" behindDoc="0" locked="0" layoutInCell="1" allowOverlap="1" wp14:anchorId="5A422BD8" wp14:editId="62330FBE">
            <wp:simplePos x="0" y="0"/>
            <wp:positionH relativeFrom="margin">
              <wp:posOffset>5629275</wp:posOffset>
            </wp:positionH>
            <wp:positionV relativeFrom="paragraph">
              <wp:posOffset>-623570</wp:posOffset>
            </wp:positionV>
            <wp:extent cx="704850" cy="913428"/>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9134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0FCD3CC" wp14:editId="77434C32">
            <wp:simplePos x="0" y="0"/>
            <wp:positionH relativeFrom="margin">
              <wp:posOffset>4249420</wp:posOffset>
            </wp:positionH>
            <wp:positionV relativeFrom="paragraph">
              <wp:posOffset>-423545</wp:posOffset>
            </wp:positionV>
            <wp:extent cx="900356" cy="683729"/>
            <wp:effectExtent l="0" t="0" r="0" b="2540"/>
            <wp:wrapNone/>
            <wp:docPr id="6" name="Image 6" descr="C:\Users\user\AppData\Local\Microsoft\Windows\INetCache\Content.MSO\3F0758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3F07589A.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0356" cy="6837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655F846" wp14:editId="49073021">
            <wp:simplePos x="0" y="0"/>
            <wp:positionH relativeFrom="margin">
              <wp:posOffset>2252980</wp:posOffset>
            </wp:positionH>
            <wp:positionV relativeFrom="paragraph">
              <wp:posOffset>-902970</wp:posOffset>
            </wp:positionV>
            <wp:extent cx="1619250" cy="1619250"/>
            <wp:effectExtent l="0" t="0" r="0" b="0"/>
            <wp:wrapNone/>
            <wp:docPr id="5" name="Image 5" descr="C:\Users\user\AppData\Local\Microsoft\Windows\INetCache\Content.MSO\1C37C9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1C37C9A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2"/>
        </w:rPr>
        <w:drawing>
          <wp:anchor distT="0" distB="0" distL="114300" distR="114300" simplePos="0" relativeHeight="251658240" behindDoc="0" locked="0" layoutInCell="1" allowOverlap="1" wp14:anchorId="4ABC6828" wp14:editId="15EFEB89">
            <wp:simplePos x="0" y="0"/>
            <wp:positionH relativeFrom="column">
              <wp:posOffset>1015365</wp:posOffset>
            </wp:positionH>
            <wp:positionV relativeFrom="paragraph">
              <wp:posOffset>-482600</wp:posOffset>
            </wp:positionV>
            <wp:extent cx="707666" cy="794455"/>
            <wp:effectExtent l="0" t="0" r="0" b="5715"/>
            <wp:wrapNone/>
            <wp:docPr id="1" name="Image 1" descr="C:\Users\user\AppData\Local\Microsoft\Windows\INetCache\Content.MSO\D89910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D899105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666" cy="794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2"/>
        </w:rPr>
        <w:drawing>
          <wp:anchor distT="0" distB="0" distL="114300" distR="114300" simplePos="0" relativeHeight="251659264" behindDoc="0" locked="0" layoutInCell="1" allowOverlap="1" wp14:anchorId="1D42FC78" wp14:editId="5C52E6BF">
            <wp:simplePos x="0" y="0"/>
            <wp:positionH relativeFrom="margin">
              <wp:posOffset>-333375</wp:posOffset>
            </wp:positionH>
            <wp:positionV relativeFrom="paragraph">
              <wp:posOffset>-477520</wp:posOffset>
            </wp:positionV>
            <wp:extent cx="822960" cy="787179"/>
            <wp:effectExtent l="0" t="0" r="0" b="0"/>
            <wp:wrapNone/>
            <wp:docPr id="2" name="Image 2" descr="C:\Users\user\AppData\Local\Microsoft\Windows\INetCache\Content.MSO\62B00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62B00D9.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7871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01EC6" w14:textId="77777777" w:rsidR="0075660F" w:rsidRDefault="0075660F" w:rsidP="0075660F">
      <w:pPr>
        <w:jc w:val="both"/>
        <w:rPr>
          <w:sz w:val="32"/>
        </w:rPr>
      </w:pPr>
    </w:p>
    <w:p w14:paraId="2E0964CD" w14:textId="77777777" w:rsidR="00AE2BE3" w:rsidRPr="0075660F" w:rsidRDefault="0075660F" w:rsidP="0075660F">
      <w:pPr>
        <w:pStyle w:val="Titre1"/>
        <w:jc w:val="center"/>
        <w:rPr>
          <w:b/>
          <w:sz w:val="40"/>
        </w:rPr>
      </w:pPr>
      <w:r w:rsidRPr="0075660F">
        <w:rPr>
          <w:b/>
          <w:sz w:val="40"/>
        </w:rPr>
        <w:t>Comité Stratégique de Filière</w:t>
      </w:r>
    </w:p>
    <w:p w14:paraId="396CE244" w14:textId="77777777" w:rsidR="0075660F" w:rsidRPr="0075660F" w:rsidRDefault="0075660F" w:rsidP="0075660F">
      <w:pPr>
        <w:pStyle w:val="Titre1"/>
        <w:jc w:val="center"/>
        <w:rPr>
          <w:b/>
          <w:sz w:val="40"/>
        </w:rPr>
      </w:pPr>
      <w:r w:rsidRPr="0075660F">
        <w:rPr>
          <w:b/>
          <w:sz w:val="40"/>
        </w:rPr>
        <w:t>« Transformation et valorisation des déchets »</w:t>
      </w:r>
    </w:p>
    <w:p w14:paraId="213123B8" w14:textId="77777777" w:rsidR="0075660F" w:rsidRPr="00695CB9" w:rsidRDefault="0075660F" w:rsidP="0075660F">
      <w:pPr>
        <w:jc w:val="center"/>
        <w:rPr>
          <w:b/>
          <w:sz w:val="18"/>
          <w:szCs w:val="18"/>
        </w:rPr>
      </w:pPr>
    </w:p>
    <w:p w14:paraId="75341B96" w14:textId="02EFA781" w:rsidR="00AE2BE3" w:rsidRPr="0075660F" w:rsidRDefault="00AE2BE3" w:rsidP="0075660F">
      <w:pPr>
        <w:jc w:val="center"/>
        <w:rPr>
          <w:b/>
          <w:sz w:val="40"/>
        </w:rPr>
      </w:pPr>
      <w:r w:rsidRPr="0075660F">
        <w:rPr>
          <w:b/>
          <w:sz w:val="40"/>
        </w:rPr>
        <w:t>Appel à Manifestation d’Intérêt</w:t>
      </w:r>
      <w:r w:rsidR="003B211A">
        <w:rPr>
          <w:b/>
          <w:sz w:val="40"/>
        </w:rPr>
        <w:t xml:space="preserve"> (AMI)</w:t>
      </w:r>
    </w:p>
    <w:p w14:paraId="6B135036" w14:textId="77777777" w:rsidR="00AE2BE3" w:rsidRPr="0075660F" w:rsidRDefault="00AE2BE3" w:rsidP="0075660F">
      <w:pPr>
        <w:jc w:val="center"/>
        <w:rPr>
          <w:b/>
          <w:sz w:val="40"/>
        </w:rPr>
      </w:pPr>
      <w:r w:rsidRPr="0075660F">
        <w:rPr>
          <w:b/>
          <w:sz w:val="40"/>
        </w:rPr>
        <w:t>Technologies Robotiques et numériques pour le Tri des Déchets</w:t>
      </w:r>
    </w:p>
    <w:p w14:paraId="5EF9183C" w14:textId="36B9A410" w:rsidR="00571485" w:rsidRPr="0075660F" w:rsidRDefault="00D54DB2" w:rsidP="0075660F">
      <w:pPr>
        <w:jc w:val="center"/>
        <w:rPr>
          <w:b/>
        </w:rPr>
      </w:pPr>
      <w:r>
        <w:rPr>
          <w:b/>
        </w:rPr>
        <w:t>8</w:t>
      </w:r>
      <w:r w:rsidR="007822A3">
        <w:rPr>
          <w:b/>
        </w:rPr>
        <w:t xml:space="preserve"> juin</w:t>
      </w:r>
      <w:r w:rsidR="0075660F">
        <w:rPr>
          <w:b/>
        </w:rPr>
        <w:t xml:space="preserve"> 2019 – 8 juillet 2019</w:t>
      </w:r>
    </w:p>
    <w:p w14:paraId="15238FF0" w14:textId="77777777" w:rsidR="00571485" w:rsidRDefault="00AE2BE3" w:rsidP="0075660F">
      <w:pPr>
        <w:pStyle w:val="Titre1"/>
        <w:numPr>
          <w:ilvl w:val="0"/>
          <w:numId w:val="3"/>
        </w:numPr>
        <w:jc w:val="both"/>
      </w:pPr>
      <w:r>
        <w:t>Contexte et enjeux :</w:t>
      </w:r>
    </w:p>
    <w:p w14:paraId="1055B15F" w14:textId="77777777" w:rsidR="008B5162" w:rsidRDefault="008B5162" w:rsidP="0075660F">
      <w:pPr>
        <w:jc w:val="both"/>
      </w:pPr>
    </w:p>
    <w:p w14:paraId="4282526B" w14:textId="77777777" w:rsidR="0075660F" w:rsidRPr="0075660F" w:rsidRDefault="0075660F" w:rsidP="0075660F">
      <w:pPr>
        <w:jc w:val="both"/>
        <w:rPr>
          <w:b/>
        </w:rPr>
      </w:pPr>
      <w:r w:rsidRPr="0075660F">
        <w:rPr>
          <w:b/>
        </w:rPr>
        <w:t>Etat des lieux</w:t>
      </w:r>
    </w:p>
    <w:p w14:paraId="598A853F" w14:textId="19CD62BE" w:rsidR="0075660F" w:rsidRDefault="0075660F" w:rsidP="0075660F">
      <w:pPr>
        <w:jc w:val="both"/>
      </w:pPr>
      <w:r>
        <w:t>La Loi de Transition Energétique pour la Croissance Verte (2015), puis la Feuille de Route Economie Circulaire (2018), prévoient de diminuer l’enfouissement</w:t>
      </w:r>
      <w:r w:rsidR="00671629">
        <w:t xml:space="preserve"> des déchets</w:t>
      </w:r>
      <w:r>
        <w:t xml:space="preserve"> de 50% entre 2010 et 2025</w:t>
      </w:r>
      <w:r w:rsidR="007822A3">
        <w:t>.</w:t>
      </w:r>
      <w:r>
        <w:t xml:space="preserve"> </w:t>
      </w:r>
      <w:r w:rsidR="007822A3">
        <w:t xml:space="preserve"> Des voies de valorisation, sous forme de matière première de recyclage et sous forme d’énergie</w:t>
      </w:r>
      <w:r w:rsidR="006D6C04">
        <w:t>,</w:t>
      </w:r>
      <w:r w:rsidR="007822A3">
        <w:t xml:space="preserve"> vont devoir être développées pour</w:t>
      </w:r>
      <w:r>
        <w:t xml:space="preserve"> environ 8 millions de tonnes de déchets </w:t>
      </w:r>
      <w:r w:rsidR="00E932B3">
        <w:t>qui devront</w:t>
      </w:r>
      <w:r w:rsidR="007822A3">
        <w:t xml:space="preserve"> ainsi être orientés vers les</w:t>
      </w:r>
      <w:r>
        <w:t xml:space="preserve"> centre</w:t>
      </w:r>
      <w:r w:rsidR="007822A3">
        <w:t>s</w:t>
      </w:r>
      <w:r>
        <w:t xml:space="preserve"> de tri. </w:t>
      </w:r>
      <w:r w:rsidR="007822A3">
        <w:t>Ces centres</w:t>
      </w:r>
      <w:r>
        <w:t xml:space="preserve"> sont</w:t>
      </w:r>
      <w:r w:rsidR="007822A3">
        <w:t xml:space="preserve"> aujourd’hui</w:t>
      </w:r>
      <w:r>
        <w:t xml:space="preserve"> relativement automatisés. Ils permettent de séparer de manière automatique les métaux ferreurs et non ferreux, </w:t>
      </w:r>
      <w:r w:rsidR="007822A3">
        <w:t>certains</w:t>
      </w:r>
      <w:r>
        <w:t xml:space="preserve"> types de résines plastiques, les papiers et cartons. </w:t>
      </w:r>
      <w:r w:rsidR="007822A3">
        <w:t>U</w:t>
      </w:r>
      <w:r>
        <w:t xml:space="preserve">ne </w:t>
      </w:r>
      <w:r w:rsidR="007822A3">
        <w:t>part importante</w:t>
      </w:r>
      <w:r>
        <w:t xml:space="preserve"> de travail manuel reste </w:t>
      </w:r>
      <w:r w:rsidR="007822A3">
        <w:t xml:space="preserve">cependant </w:t>
      </w:r>
      <w:r>
        <w:t xml:space="preserve">nécessaire. Les </w:t>
      </w:r>
      <w:r w:rsidR="001E24ED">
        <w:t xml:space="preserve">postes </w:t>
      </w:r>
      <w:r>
        <w:t xml:space="preserve">correspondants à cette activité </w:t>
      </w:r>
      <w:r w:rsidR="001E24ED">
        <w:t>mettent en œuvre des actions</w:t>
      </w:r>
      <w:commentRangeStart w:id="0"/>
      <w:commentRangeEnd w:id="0"/>
      <w:r w:rsidR="001E24ED">
        <w:t xml:space="preserve"> </w:t>
      </w:r>
      <w:r>
        <w:t>répétiti</w:t>
      </w:r>
      <w:r w:rsidR="001E24ED">
        <w:t>ve</w:t>
      </w:r>
      <w:r>
        <w:t xml:space="preserve">s </w:t>
      </w:r>
      <w:r w:rsidR="001E24ED">
        <w:t xml:space="preserve">qui sont </w:t>
      </w:r>
      <w:r>
        <w:t xml:space="preserve">sources de Troubles Musculo Squelettiques (TMS). </w:t>
      </w:r>
      <w:r w:rsidR="001E24ED">
        <w:t xml:space="preserve">Certaines tâches peuvent également présenter des enjeux en termes de sécurité (substances </w:t>
      </w:r>
      <w:r w:rsidR="006B5FF0">
        <w:t>toxiques</w:t>
      </w:r>
      <w:r w:rsidR="001E24ED">
        <w:t>, éléments inflammables…).</w:t>
      </w:r>
    </w:p>
    <w:p w14:paraId="3226AE89" w14:textId="77777777" w:rsidR="0075660F" w:rsidRPr="0075660F" w:rsidRDefault="0075660F" w:rsidP="0075660F">
      <w:pPr>
        <w:jc w:val="both"/>
        <w:rPr>
          <w:b/>
        </w:rPr>
      </w:pPr>
      <w:r w:rsidRPr="0075660F">
        <w:rPr>
          <w:b/>
        </w:rPr>
        <w:t xml:space="preserve">Les enjeux </w:t>
      </w:r>
    </w:p>
    <w:p w14:paraId="44F0A501" w14:textId="51FF6B7B" w:rsidR="0039653D" w:rsidRDefault="003B211A" w:rsidP="0075660F">
      <w:pPr>
        <w:jc w:val="both"/>
      </w:pPr>
      <w:r>
        <w:t>Le numérique</w:t>
      </w:r>
      <w:r w:rsidR="006D6C04">
        <w:t>, le développement de l’intelligence artificielle</w:t>
      </w:r>
      <w:r>
        <w:t xml:space="preserve"> et la</w:t>
      </w:r>
      <w:r w:rsidR="006B5FF0">
        <w:t xml:space="preserve"> </w:t>
      </w:r>
      <w:r w:rsidR="0075660F">
        <w:t>robotisation</w:t>
      </w:r>
      <w:r w:rsidR="001E24ED">
        <w:t xml:space="preserve"> offre</w:t>
      </w:r>
      <w:r>
        <w:t>nt</w:t>
      </w:r>
      <w:r w:rsidR="001E24ED">
        <w:t xml:space="preserve"> des perspectives de progrès</w:t>
      </w:r>
      <w:r w:rsidR="006D6C04">
        <w:t xml:space="preserve"> et de performance</w:t>
      </w:r>
      <w:r w:rsidR="001E24ED">
        <w:t xml:space="preserve"> pour la fi</w:t>
      </w:r>
      <w:r w:rsidR="0039653D">
        <w:t>lière de traitement des déchets. Le déploiement de ces nouvelles technologies</w:t>
      </w:r>
      <w:r w:rsidR="0075660F">
        <w:t xml:space="preserve"> nécessite une grande part d’innovation, de recherche et développement</w:t>
      </w:r>
      <w:r w:rsidR="0039653D">
        <w:t xml:space="preserve"> et </w:t>
      </w:r>
      <w:r w:rsidR="0075660F">
        <w:t xml:space="preserve">de calibration, en vue </w:t>
      </w:r>
      <w:r w:rsidR="006B5FF0">
        <w:t xml:space="preserve">de leur </w:t>
      </w:r>
      <w:r w:rsidR="0075660F">
        <w:t xml:space="preserve">généralisation. </w:t>
      </w:r>
    </w:p>
    <w:p w14:paraId="49CC6E48" w14:textId="12D142EC" w:rsidR="00CD337A" w:rsidRPr="0077290B" w:rsidRDefault="003847C5" w:rsidP="0075660F">
      <w:pPr>
        <w:jc w:val="both"/>
        <w:rPr>
          <w:rFonts w:cstheme="minorHAnsi"/>
        </w:rPr>
      </w:pPr>
      <w:r w:rsidRPr="00775822">
        <w:rPr>
          <w:rFonts w:cstheme="minorHAnsi"/>
        </w:rPr>
        <w:t xml:space="preserve">Le Comité Stratégique de Filière « Transformation et Valorisation des Déchets » </w:t>
      </w:r>
      <w:r w:rsidR="0039653D" w:rsidRPr="00775822">
        <w:rPr>
          <w:rFonts w:cstheme="minorHAnsi"/>
        </w:rPr>
        <w:t>rassemble</w:t>
      </w:r>
      <w:r w:rsidR="0077290B" w:rsidRPr="00775822">
        <w:rPr>
          <w:rFonts w:cstheme="minorHAnsi"/>
          <w:color w:val="000000"/>
        </w:rPr>
        <w:t xml:space="preserve"> les professionnels du secteur, les pouvoirs publics</w:t>
      </w:r>
      <w:r w:rsidR="002F4372">
        <w:rPr>
          <w:rFonts w:cstheme="minorHAnsi"/>
          <w:color w:val="000000"/>
        </w:rPr>
        <w:t>, les Pôles de Compétitivité</w:t>
      </w:r>
      <w:r w:rsidR="0077290B" w:rsidRPr="00775822">
        <w:rPr>
          <w:rFonts w:cstheme="minorHAnsi"/>
          <w:color w:val="000000"/>
        </w:rPr>
        <w:t> et les organisations syndicales représentant les personnels de la filière. Au travers</w:t>
      </w:r>
      <w:r w:rsidR="0077290B" w:rsidRPr="006E6D0E">
        <w:rPr>
          <w:rFonts w:cstheme="minorHAnsi"/>
          <w:color w:val="000000"/>
          <w:shd w:val="clear" w:color="auto" w:fill="FFFFFF"/>
        </w:rPr>
        <w:t xml:space="preserve"> du CSF, l’ensemble des acteurs a trouvé une opportunité de se rencontrer et d’échanger sur des sujets d’intérêt commun</w:t>
      </w:r>
      <w:r w:rsidR="0077290B">
        <w:rPr>
          <w:rFonts w:cstheme="minorHAnsi"/>
          <w:color w:val="000000"/>
          <w:shd w:val="clear" w:color="auto" w:fill="FFFFFF"/>
        </w:rPr>
        <w:t xml:space="preserve"> (</w:t>
      </w:r>
      <w:hyperlink r:id="rId10" w:history="1">
        <w:r w:rsidR="0077290B">
          <w:rPr>
            <w:rStyle w:val="Lienhypertexte"/>
          </w:rPr>
          <w:t>https://www.conseil-national-industrie.gouv.fr/comites-strategiques-de-filiere/transformation-et-valorisation-des-dechets</w:t>
        </w:r>
      </w:hyperlink>
      <w:r w:rsidR="0077290B">
        <w:t>)</w:t>
      </w:r>
      <w:r w:rsidR="0077290B" w:rsidRPr="006E6D0E">
        <w:rPr>
          <w:rFonts w:cstheme="minorHAnsi"/>
          <w:color w:val="000000"/>
          <w:shd w:val="clear" w:color="auto" w:fill="FFFFFF"/>
        </w:rPr>
        <w:t>.</w:t>
      </w:r>
      <w:r w:rsidR="0077290B">
        <w:rPr>
          <w:rFonts w:cstheme="minorHAnsi"/>
          <w:color w:val="000000"/>
          <w:shd w:val="clear" w:color="auto" w:fill="FFFFFF"/>
        </w:rPr>
        <w:t xml:space="preserve"> </w:t>
      </w:r>
    </w:p>
    <w:p w14:paraId="2DB027AA" w14:textId="706853AE" w:rsidR="0039653D" w:rsidRDefault="0039653D" w:rsidP="0075660F">
      <w:pPr>
        <w:jc w:val="both"/>
      </w:pPr>
      <w:r>
        <w:lastRenderedPageBreak/>
        <w:t>La robotisation des centres de tri est identifié</w:t>
      </w:r>
      <w:r w:rsidR="00CD337A">
        <w:t>e</w:t>
      </w:r>
      <w:r>
        <w:t xml:space="preserve"> comme un axe de travail prioritaire du contrat signé entre le CSF et l’Etat. A ce titre, les actions </w:t>
      </w:r>
      <w:r w:rsidR="006D6C04">
        <w:t xml:space="preserve">mises en </w:t>
      </w:r>
      <w:r w:rsidR="00890DAB">
        <w:t>œuvre</w:t>
      </w:r>
      <w:r w:rsidR="006D6C04">
        <w:t xml:space="preserve"> </w:t>
      </w:r>
      <w:r>
        <w:t xml:space="preserve">par le CSF pourront bénéficier d’un </w:t>
      </w:r>
      <w:r w:rsidR="006D6C04">
        <w:t xml:space="preserve">accompagnement </w:t>
      </w:r>
      <w:r>
        <w:t>privilégié.</w:t>
      </w:r>
    </w:p>
    <w:p w14:paraId="11027FC9" w14:textId="49A4D848" w:rsidR="0075660F" w:rsidRDefault="0039653D" w:rsidP="0075660F">
      <w:pPr>
        <w:jc w:val="both"/>
      </w:pPr>
      <w:r>
        <w:t xml:space="preserve">Dans ce cadre, le CSF </w:t>
      </w:r>
      <w:r w:rsidR="003847C5">
        <w:t xml:space="preserve">souhaite </w:t>
      </w:r>
      <w:r w:rsidR="006B5FF0">
        <w:t xml:space="preserve">impulser dès fin 2019 un projet structurant pour </w:t>
      </w:r>
      <w:r>
        <w:t xml:space="preserve">favoriser </w:t>
      </w:r>
      <w:r w:rsidR="006B5FF0">
        <w:t xml:space="preserve">le développement et l’expérimentation de technologies </w:t>
      </w:r>
      <w:r w:rsidR="003B211A">
        <w:t xml:space="preserve">numériques et </w:t>
      </w:r>
      <w:r w:rsidR="006B5FF0">
        <w:t xml:space="preserve">robotiques </w:t>
      </w:r>
      <w:r>
        <w:t xml:space="preserve">sur des centres de tri et de valorisation des déchets </w:t>
      </w:r>
      <w:r w:rsidR="0075660F">
        <w:t xml:space="preserve">en vue d’un déploiement massif dans les années qui suivront. </w:t>
      </w:r>
    </w:p>
    <w:p w14:paraId="6571C61B" w14:textId="77777777" w:rsidR="00794597" w:rsidRDefault="00E932B3" w:rsidP="0075660F">
      <w:pPr>
        <w:jc w:val="both"/>
      </w:pPr>
      <w:r>
        <w:t>Le</w:t>
      </w:r>
      <w:r w:rsidR="002C628A">
        <w:t xml:space="preserve"> CSF observe avec attention l’ensemble des innovations technologiques qui pourront permettre le développement de ce projet structurant : IA, Big Data, Machine Learning, Deep Learning, IoT, capteurs, spectrométrie (LIBS, DRX, NIR…), bras &amp; portiques robotisés, cobots, systèmes de préhension et d’éjection</w:t>
      </w:r>
      <w:r w:rsidR="00987F97">
        <w:t xml:space="preserve">… </w:t>
      </w:r>
    </w:p>
    <w:p w14:paraId="540A19E5" w14:textId="0C24A515" w:rsidR="00E932B3" w:rsidRDefault="00987F97" w:rsidP="0075660F">
      <w:pPr>
        <w:jc w:val="both"/>
      </w:pPr>
      <w:r>
        <w:t>La complémentarité de ces technologies, le retour d’expérience du projet et les données accumulées permettront d’apporter aux acteurs des filières robotiques, numériques et déchets</w:t>
      </w:r>
      <w:r w:rsidR="00794597">
        <w:t>, la masse de</w:t>
      </w:r>
      <w:r>
        <w:t xml:space="preserve"> connaissances nécessaires </w:t>
      </w:r>
      <w:r w:rsidR="00794597">
        <w:t>pour un déploiement industriel de robots de tri des déchets dans les années à venir.</w:t>
      </w:r>
    </w:p>
    <w:p w14:paraId="7AF64457" w14:textId="1F56E0BB" w:rsidR="00890DAB" w:rsidRDefault="00890DAB" w:rsidP="0075660F">
      <w:pPr>
        <w:jc w:val="both"/>
      </w:pPr>
      <w:r>
        <w:t xml:space="preserve">Le projet du CSF est </w:t>
      </w:r>
      <w:r w:rsidR="00794597">
        <w:t xml:space="preserve">aussi </w:t>
      </w:r>
      <w:r>
        <w:t>d’impulser le développement d’une compétence nationale, permettant la structuration de la filière des équipementiers de tri sur ces nouvelles technologies et l’amélioration des performances des opérateurs nationaux en matière de recyclage et traitement des déchets.</w:t>
      </w:r>
    </w:p>
    <w:p w14:paraId="48B83921" w14:textId="61164D1D" w:rsidR="0075660F" w:rsidRDefault="00B45FEE" w:rsidP="0075660F">
      <w:pPr>
        <w:jc w:val="both"/>
      </w:pPr>
      <w:r>
        <w:t xml:space="preserve">Les </w:t>
      </w:r>
      <w:r w:rsidR="003B211A">
        <w:t>actions</w:t>
      </w:r>
      <w:r>
        <w:t xml:space="preserve"> mis</w:t>
      </w:r>
      <w:r w:rsidR="003B211A">
        <w:t>es</w:t>
      </w:r>
      <w:r>
        <w:t xml:space="preserve"> en œuvre viseront notamment à</w:t>
      </w:r>
      <w:r w:rsidR="00962649">
        <w:t xml:space="preserve"> </w:t>
      </w:r>
      <w:r w:rsidR="0075660F">
        <w:t xml:space="preserve">: </w:t>
      </w:r>
    </w:p>
    <w:p w14:paraId="44434D69" w14:textId="5879A10A" w:rsidR="00B45FEE" w:rsidRDefault="00CD337A" w:rsidP="0075660F">
      <w:pPr>
        <w:pStyle w:val="Paragraphedeliste"/>
        <w:numPr>
          <w:ilvl w:val="0"/>
          <w:numId w:val="8"/>
        </w:numPr>
        <w:jc w:val="both"/>
      </w:pPr>
      <w:r>
        <w:t>d</w:t>
      </w:r>
      <w:r w:rsidR="0075660F">
        <w:t>évelopper des mécanismes d’apprentissage de reconnaissance des différents déchets</w:t>
      </w:r>
      <w:commentRangeStart w:id="1"/>
      <w:commentRangeEnd w:id="1"/>
      <w:r w:rsidR="0075660F">
        <w:t xml:space="preserve">, </w:t>
      </w:r>
    </w:p>
    <w:p w14:paraId="5E74712A" w14:textId="3A4D50A3" w:rsidR="0075660F" w:rsidRDefault="0075660F" w:rsidP="0075660F">
      <w:pPr>
        <w:pStyle w:val="Paragraphedeliste"/>
        <w:numPr>
          <w:ilvl w:val="0"/>
          <w:numId w:val="8"/>
        </w:numPr>
        <w:jc w:val="both"/>
      </w:pPr>
      <w:r>
        <w:t>développer et affiner les technologies de préhension des déchets</w:t>
      </w:r>
    </w:p>
    <w:p w14:paraId="342651B8" w14:textId="744F68E3" w:rsidR="009E5A7E" w:rsidRDefault="00CD337A" w:rsidP="0075660F">
      <w:pPr>
        <w:pStyle w:val="Paragraphedeliste"/>
        <w:numPr>
          <w:ilvl w:val="0"/>
          <w:numId w:val="8"/>
        </w:numPr>
        <w:jc w:val="both"/>
      </w:pPr>
      <w:r>
        <w:t>d</w:t>
      </w:r>
      <w:r w:rsidR="0075660F">
        <w:t xml:space="preserve">évelopper </w:t>
      </w:r>
      <w:r w:rsidR="00B45FEE">
        <w:t>d</w:t>
      </w:r>
      <w:r w:rsidR="0075660F">
        <w:t>es robots « pilotés » afin que les opérateurs de contrôle</w:t>
      </w:r>
      <w:r w:rsidR="00B45FEE">
        <w:t xml:space="preserve"> </w:t>
      </w:r>
      <w:r w:rsidR="0075660F">
        <w:t xml:space="preserve">qui ne seront plus alors en contact direct avec les déchets, puissent désigner via une interface numérique les </w:t>
      </w:r>
      <w:r>
        <w:t>objets</w:t>
      </w:r>
      <w:r w:rsidR="0075660F">
        <w:t xml:space="preserve"> </w:t>
      </w:r>
      <w:r w:rsidR="00B45FEE">
        <w:t>à séparer du flux</w:t>
      </w:r>
      <w:r w:rsidR="0075660F">
        <w:t xml:space="preserve">. </w:t>
      </w:r>
    </w:p>
    <w:p w14:paraId="2577C357" w14:textId="1678C7B4" w:rsidR="002C628A" w:rsidRDefault="002C628A" w:rsidP="0075660F">
      <w:pPr>
        <w:pStyle w:val="Paragraphedeliste"/>
        <w:numPr>
          <w:ilvl w:val="0"/>
          <w:numId w:val="8"/>
        </w:numPr>
        <w:jc w:val="both"/>
      </w:pPr>
      <w:r>
        <w:t>développer des solutions de communication et de mise en réseaux des données et flux de données issus du tri des déchets</w:t>
      </w:r>
    </w:p>
    <w:p w14:paraId="3D19C42E" w14:textId="55F2A959" w:rsidR="00B9657C" w:rsidRDefault="003B211A" w:rsidP="009E5A7E">
      <w:pPr>
        <w:jc w:val="both"/>
      </w:pPr>
      <w:r>
        <w:t xml:space="preserve">Le projet devra notamment permettre de décrire les conditions de robotisation des nouveaux centres de tri, et les adaptations qui pourraient être nécessaires pour l’optimisation robotique des centres existants. </w:t>
      </w:r>
    </w:p>
    <w:p w14:paraId="2087E55D" w14:textId="6AC5D611" w:rsidR="008B5162" w:rsidRDefault="003B211A" w:rsidP="0075660F">
      <w:pPr>
        <w:jc w:val="both"/>
      </w:pPr>
      <w:r>
        <w:t>En cas de succès, les technologies mises en œuvre dans le cadre du projet bénéficieront d’une mise en visibilité afin d’accélérer leur déploiement au sein de la filière.</w:t>
      </w:r>
    </w:p>
    <w:p w14:paraId="1876F3A9" w14:textId="77777777" w:rsidR="008B5162" w:rsidRDefault="008B5162" w:rsidP="0075660F">
      <w:pPr>
        <w:pStyle w:val="Titre1"/>
        <w:numPr>
          <w:ilvl w:val="0"/>
          <w:numId w:val="3"/>
        </w:numPr>
        <w:jc w:val="both"/>
      </w:pPr>
      <w:r>
        <w:t>Objectifs de l’AMI :</w:t>
      </w:r>
    </w:p>
    <w:p w14:paraId="266E49D3" w14:textId="77777777" w:rsidR="008B5162" w:rsidRDefault="008B5162" w:rsidP="0075660F">
      <w:pPr>
        <w:jc w:val="both"/>
      </w:pPr>
    </w:p>
    <w:p w14:paraId="7012FCAA" w14:textId="747A3AF9" w:rsidR="008B5162" w:rsidRDefault="003B211A" w:rsidP="00CD337A">
      <w:pPr>
        <w:jc w:val="both"/>
      </w:pPr>
      <w:r>
        <w:t xml:space="preserve">Cet AMI vise à </w:t>
      </w:r>
      <w:r w:rsidR="00CD337A">
        <w:t>i</w:t>
      </w:r>
      <w:r w:rsidR="008B5162">
        <w:t>dentifier les solutions robotiques et numériques ayant un niveau de maturité technologique suffisamment élevé (proche de TRL 5</w:t>
      </w:r>
      <w:r w:rsidR="0077290B">
        <w:t xml:space="preserve"> – CF annexe 3</w:t>
      </w:r>
      <w:r w:rsidR="008B5162">
        <w:t xml:space="preserve">) pour pouvoir être </w:t>
      </w:r>
      <w:r>
        <w:t>expérimentées</w:t>
      </w:r>
      <w:r w:rsidR="008B5162">
        <w:t xml:space="preserve"> en environnement opérationnel avant la fin de l’année 2019</w:t>
      </w:r>
      <w:r>
        <w:t xml:space="preserve"> et portées à TRL 8 au plus tard fin 2021</w:t>
      </w:r>
      <w:r w:rsidR="00CD337A">
        <w:t>.</w:t>
      </w:r>
    </w:p>
    <w:p w14:paraId="0F2C0CB4" w14:textId="57462E2A" w:rsidR="008B5162" w:rsidRDefault="0033315B" w:rsidP="00CD337A">
      <w:pPr>
        <w:jc w:val="both"/>
      </w:pPr>
      <w:r>
        <w:t>L’objectif est ainsi de déployer des solutions expérimentales en conditions réelles d’utilisation via la mise en place de prototypes, de démonstrateurs ou d’installations pilote en environnements opérationnels.</w:t>
      </w:r>
    </w:p>
    <w:p w14:paraId="27F01D66" w14:textId="25EBCED5" w:rsidR="008B5162" w:rsidRDefault="003B211A" w:rsidP="00CD337A">
      <w:pPr>
        <w:jc w:val="both"/>
      </w:pPr>
      <w:r>
        <w:t>Les initiatives séle</w:t>
      </w:r>
      <w:r w:rsidR="0033315B">
        <w:t>ctionnées pourront bénéficier d’un accompagnement pour</w:t>
      </w:r>
      <w:r>
        <w:t> :</w:t>
      </w:r>
    </w:p>
    <w:p w14:paraId="6372AF7E" w14:textId="53FA1D75" w:rsidR="0075660F" w:rsidRDefault="0033315B" w:rsidP="00CD337A">
      <w:pPr>
        <w:pStyle w:val="Paragraphedeliste"/>
        <w:numPr>
          <w:ilvl w:val="1"/>
          <w:numId w:val="2"/>
        </w:numPr>
        <w:ind w:left="709"/>
        <w:jc w:val="both"/>
      </w:pPr>
      <w:r>
        <w:lastRenderedPageBreak/>
        <w:t xml:space="preserve">monter </w:t>
      </w:r>
      <w:r w:rsidR="008B5162">
        <w:t xml:space="preserve">des </w:t>
      </w:r>
      <w:r>
        <w:t xml:space="preserve">consortia </w:t>
      </w:r>
      <w:r w:rsidR="008B5162">
        <w:t>opérationnels (opérateurs gestionnaires de déchets gestionnaires de centres de tri, EPCI,</w:t>
      </w:r>
      <w:r w:rsidR="00DE2886">
        <w:t xml:space="preserve"> collectivités,</w:t>
      </w:r>
      <w:r w:rsidR="008B5162">
        <w:t xml:space="preserve"> équipementiers, financeurs…) pour ces expérimentations et la préparation de l’industrialisation des solutions retenues et validées</w:t>
      </w:r>
      <w:r w:rsidR="00695CB9">
        <w:t>.</w:t>
      </w:r>
    </w:p>
    <w:p w14:paraId="41C3610C" w14:textId="7085CC5A" w:rsidR="00695CB9" w:rsidRDefault="00695CB9" w:rsidP="00CD337A">
      <w:pPr>
        <w:pStyle w:val="Paragraphedeliste"/>
        <w:numPr>
          <w:ilvl w:val="1"/>
          <w:numId w:val="2"/>
        </w:numPr>
        <w:ind w:left="709"/>
        <w:jc w:val="both"/>
      </w:pPr>
      <w:r>
        <w:t xml:space="preserve">solliciter des </w:t>
      </w:r>
      <w:r w:rsidR="0033315B">
        <w:t xml:space="preserve">aides </w:t>
      </w:r>
      <w:r>
        <w:t>publi</w:t>
      </w:r>
      <w:r w:rsidR="0033315B">
        <w:t>que</w:t>
      </w:r>
      <w:r>
        <w:t xml:space="preserve">s </w:t>
      </w:r>
      <w:r w:rsidR="0033315B">
        <w:t>pour cofinancer les projets</w:t>
      </w:r>
      <w:r>
        <w:t>.</w:t>
      </w:r>
    </w:p>
    <w:p w14:paraId="5737FE3B" w14:textId="77777777" w:rsidR="00240B95" w:rsidRDefault="00240B95" w:rsidP="0075660F">
      <w:pPr>
        <w:jc w:val="both"/>
      </w:pPr>
    </w:p>
    <w:p w14:paraId="5903F03F" w14:textId="77777777" w:rsidR="008B5162" w:rsidRDefault="008B5162" w:rsidP="0075660F">
      <w:pPr>
        <w:pStyle w:val="Titre1"/>
        <w:numPr>
          <w:ilvl w:val="0"/>
          <w:numId w:val="3"/>
        </w:numPr>
        <w:jc w:val="both"/>
      </w:pPr>
      <w:r>
        <w:t>Thématiques</w:t>
      </w:r>
      <w:r w:rsidR="00B9657C">
        <w:t xml:space="preserve"> et typologie de candidatures</w:t>
      </w:r>
      <w:r>
        <w:t> :</w:t>
      </w:r>
    </w:p>
    <w:p w14:paraId="530C8D7F" w14:textId="77777777" w:rsidR="00CD337A" w:rsidRPr="00CD337A" w:rsidRDefault="00CD337A" w:rsidP="0075660F">
      <w:pPr>
        <w:jc w:val="both"/>
      </w:pPr>
    </w:p>
    <w:p w14:paraId="499CA253" w14:textId="623EA812" w:rsidR="0033315B" w:rsidRPr="00CD337A" w:rsidRDefault="0033315B" w:rsidP="0075660F">
      <w:pPr>
        <w:jc w:val="both"/>
        <w:rPr>
          <w:b/>
        </w:rPr>
      </w:pPr>
      <w:r w:rsidRPr="00CD337A">
        <w:rPr>
          <w:b/>
        </w:rPr>
        <w:t xml:space="preserve">Peuvent candidater à cet AMI  (seuls ou en consortium) : </w:t>
      </w:r>
    </w:p>
    <w:p w14:paraId="7927BD39" w14:textId="107D39C0" w:rsidR="00B9657C" w:rsidRDefault="0033315B" w:rsidP="00240B95">
      <w:pPr>
        <w:pStyle w:val="Titre2"/>
        <w:ind w:left="708" w:firstLine="708"/>
        <w:jc w:val="both"/>
      </w:pPr>
      <w:r>
        <w:t xml:space="preserve">- les </w:t>
      </w:r>
      <w:r w:rsidR="00B9657C">
        <w:t>apporteurs de solutions</w:t>
      </w:r>
    </w:p>
    <w:p w14:paraId="2F1D2D54" w14:textId="77777777" w:rsidR="00583D22" w:rsidRPr="00583D22" w:rsidRDefault="00583D22" w:rsidP="00583D22">
      <w:pPr>
        <w:rPr>
          <w:sz w:val="4"/>
          <w:szCs w:val="4"/>
        </w:rPr>
      </w:pPr>
    </w:p>
    <w:p w14:paraId="04933BC8" w14:textId="77777777" w:rsidR="00B9657C" w:rsidRDefault="00B9657C" w:rsidP="0075660F">
      <w:pPr>
        <w:jc w:val="both"/>
      </w:pPr>
      <w:r>
        <w:t>Les entreprises, sociétés, GIE ou groupement d’acteurs industriels pouvant proposer la conception et la fabrication de solutions robotique et/ou numérique pour le tri des déchets ayant une maturité technologique et industrielle suffisamment élevée pour pouvoir commencer à déployer leur solution sur un site d’expérimentation avant la fin de l’année 2019.</w:t>
      </w:r>
    </w:p>
    <w:p w14:paraId="1D73C256" w14:textId="0D60BA4C" w:rsidR="0028583C" w:rsidRDefault="0033315B" w:rsidP="00240B95">
      <w:pPr>
        <w:pStyle w:val="Titre2"/>
        <w:ind w:left="1158" w:firstLine="258"/>
        <w:jc w:val="both"/>
      </w:pPr>
      <w:r>
        <w:t xml:space="preserve">- les </w:t>
      </w:r>
      <w:r w:rsidR="00B9657C">
        <w:t>demandeurs de solutions</w:t>
      </w:r>
    </w:p>
    <w:p w14:paraId="52D7B3B9" w14:textId="77777777" w:rsidR="00583D22" w:rsidRPr="00583D22" w:rsidRDefault="00583D22" w:rsidP="00583D22">
      <w:pPr>
        <w:rPr>
          <w:sz w:val="4"/>
          <w:szCs w:val="4"/>
        </w:rPr>
      </w:pPr>
    </w:p>
    <w:p w14:paraId="7CF32C70" w14:textId="6E53EE04" w:rsidR="00B9657C" w:rsidRDefault="00B9657C" w:rsidP="0075660F">
      <w:pPr>
        <w:jc w:val="both"/>
      </w:pPr>
      <w:r>
        <w:t>Les entreprises, sociétés, GIE</w:t>
      </w:r>
      <w:r w:rsidR="00DE2886">
        <w:t>, collectivités</w:t>
      </w:r>
      <w:r>
        <w:t xml:space="preserve"> ou groupement d’acteurs du tri et du traitement des déchets souhaitant expérimenter sur un site de tri et/ou traitement des déchets une solution pouvant commencer à être déployée sur leur site avant la fin de l’année 2019.</w:t>
      </w:r>
    </w:p>
    <w:p w14:paraId="4EF0A0DD" w14:textId="22350154" w:rsidR="00CD337A" w:rsidRDefault="0033315B" w:rsidP="0075660F">
      <w:pPr>
        <w:jc w:val="both"/>
      </w:pPr>
      <w:r>
        <w:t>L’appui d’autres types de partenaires (académiques…) n’est pas exclu.</w:t>
      </w:r>
    </w:p>
    <w:p w14:paraId="6680C14A" w14:textId="77777777" w:rsidR="00583D22" w:rsidRPr="0028583C" w:rsidRDefault="00583D22" w:rsidP="0075660F">
      <w:pPr>
        <w:jc w:val="both"/>
      </w:pPr>
    </w:p>
    <w:p w14:paraId="571190E3" w14:textId="56CF1B89" w:rsidR="008B5162" w:rsidRDefault="008B5162" w:rsidP="0075660F">
      <w:pPr>
        <w:pStyle w:val="Titre1"/>
        <w:numPr>
          <w:ilvl w:val="0"/>
          <w:numId w:val="3"/>
        </w:numPr>
        <w:jc w:val="both"/>
      </w:pPr>
      <w:r>
        <w:t>Modalités de participation :</w:t>
      </w:r>
    </w:p>
    <w:p w14:paraId="62604583" w14:textId="77777777" w:rsidR="00CD337A" w:rsidRDefault="00CD337A" w:rsidP="0075660F">
      <w:pPr>
        <w:jc w:val="both"/>
      </w:pPr>
    </w:p>
    <w:p w14:paraId="35F64372" w14:textId="21967053" w:rsidR="0028583C" w:rsidRDefault="0028583C" w:rsidP="00CD337A">
      <w:pPr>
        <w:jc w:val="both"/>
      </w:pPr>
      <w:r>
        <w:t>Les candidats devront préparer un pré-dossier de candidature sur la base des canevas présentés en annexe</w:t>
      </w:r>
      <w:r w:rsidR="00CD337A">
        <w:t xml:space="preserve"> (5 Pages</w:t>
      </w:r>
      <w:r>
        <w:t xml:space="preserve"> maximum</w:t>
      </w:r>
      <w:r w:rsidR="00CD337A">
        <w:t>)</w:t>
      </w:r>
      <w:r>
        <w:t>.</w:t>
      </w:r>
    </w:p>
    <w:p w14:paraId="438642BB" w14:textId="070C7630" w:rsidR="003847C5" w:rsidRDefault="003847C5" w:rsidP="0075660F">
      <w:pPr>
        <w:jc w:val="both"/>
      </w:pPr>
      <w:r>
        <w:t>Du fait de leur expertise sur les questions d’innovation et de montage de projets collaboratifs sur la filière « déchets », les Pôles de Compétitivité Axelera (</w:t>
      </w:r>
      <w:hyperlink r:id="rId11" w:history="1">
        <w:r w:rsidRPr="00E26864">
          <w:rPr>
            <w:rStyle w:val="Lienhypertexte"/>
          </w:rPr>
          <w:t>www.axelera.org</w:t>
        </w:r>
      </w:hyperlink>
      <w:r>
        <w:t>)  et TEAM2 (</w:t>
      </w:r>
      <w:hyperlink r:id="rId12" w:history="1">
        <w:r w:rsidRPr="00E26864">
          <w:rPr>
            <w:rStyle w:val="Lienhypertexte"/>
          </w:rPr>
          <w:t>www.team2.fr</w:t>
        </w:r>
      </w:hyperlink>
      <w:r>
        <w:t>) ont été sollicité</w:t>
      </w:r>
      <w:r w:rsidR="00CD337A">
        <w:t>s</w:t>
      </w:r>
      <w:r>
        <w:t xml:space="preserve"> par le CSF pour accompagner </w:t>
      </w:r>
      <w:r w:rsidR="0033315B">
        <w:t>l</w:t>
      </w:r>
      <w:r w:rsidR="00360259">
        <w:t>’expertise</w:t>
      </w:r>
      <w:r w:rsidR="0033315B">
        <w:t xml:space="preserve"> de </w:t>
      </w:r>
      <w:r>
        <w:t xml:space="preserve">cet AMI et les candidats.  </w:t>
      </w:r>
    </w:p>
    <w:p w14:paraId="6F0DF769" w14:textId="76CCC16B" w:rsidR="0033315B" w:rsidRDefault="0033315B" w:rsidP="0075660F">
      <w:pPr>
        <w:jc w:val="both"/>
      </w:pPr>
      <w:r>
        <w:t>Pour toutes questions, l</w:t>
      </w:r>
      <w:r w:rsidR="00CC2703">
        <w:t xml:space="preserve">es candidats sont invités à </w:t>
      </w:r>
      <w:r>
        <w:t>contacter les pôles :</w:t>
      </w:r>
    </w:p>
    <w:p w14:paraId="05EB0D77" w14:textId="1DD14F89" w:rsidR="0033315B" w:rsidRPr="00CD337A" w:rsidRDefault="00CC2703" w:rsidP="00CD337A">
      <w:pPr>
        <w:rPr>
          <w:lang w:val="en-US"/>
        </w:rPr>
      </w:pPr>
      <w:r w:rsidRPr="00CD337A">
        <w:rPr>
          <w:lang w:val="en-US"/>
        </w:rPr>
        <w:t xml:space="preserve">Laure Hugonet </w:t>
      </w:r>
      <w:r w:rsidR="00CD337A">
        <w:rPr>
          <w:lang w:val="en-US"/>
        </w:rPr>
        <w:tab/>
      </w:r>
      <w:r w:rsidR="00CD337A">
        <w:rPr>
          <w:lang w:val="en-US"/>
        </w:rPr>
        <w:tab/>
      </w:r>
      <w:r w:rsidR="00CD337A">
        <w:rPr>
          <w:lang w:val="en-US"/>
        </w:rPr>
        <w:tab/>
      </w:r>
      <w:hyperlink r:id="rId13" w:history="1">
        <w:r w:rsidR="0033315B" w:rsidRPr="00CD337A">
          <w:rPr>
            <w:rStyle w:val="Lienhypertexte"/>
            <w:lang w:val="en-US"/>
          </w:rPr>
          <w:t>Laure.hugonet@axelera.org</w:t>
        </w:r>
      </w:hyperlink>
      <w:r w:rsidR="005712A0" w:rsidRPr="00CD337A">
        <w:rPr>
          <w:rStyle w:val="Lienhypertexte"/>
          <w:lang w:val="en-US"/>
        </w:rPr>
        <w:t xml:space="preserve"> </w:t>
      </w:r>
    </w:p>
    <w:p w14:paraId="5976499F" w14:textId="7264AA0E" w:rsidR="00583D22" w:rsidRDefault="00CD337A" w:rsidP="003847C5">
      <w:pPr>
        <w:jc w:val="both"/>
        <w:rPr>
          <w:rStyle w:val="Lienhypertexte"/>
        </w:rPr>
      </w:pPr>
      <w:r>
        <w:t>Arnaud Deblonde</w:t>
      </w:r>
      <w:r>
        <w:tab/>
      </w:r>
      <w:r>
        <w:tab/>
      </w:r>
      <w:hyperlink r:id="rId14" w:history="1">
        <w:r w:rsidR="00CC2703" w:rsidRPr="009D5810">
          <w:rPr>
            <w:rStyle w:val="Lienhypertexte"/>
          </w:rPr>
          <w:t>a.deblonde@team2.fr</w:t>
        </w:r>
      </w:hyperlink>
    </w:p>
    <w:p w14:paraId="1ADCC317" w14:textId="7484228D" w:rsidR="00583D22" w:rsidRDefault="00583D22" w:rsidP="003847C5">
      <w:pPr>
        <w:jc w:val="both"/>
        <w:rPr>
          <w:color w:val="0563C1" w:themeColor="hyperlink"/>
          <w:u w:val="single"/>
        </w:rPr>
      </w:pPr>
    </w:p>
    <w:p w14:paraId="0C2E5FEE" w14:textId="6A22E5BB" w:rsidR="00583D22" w:rsidRDefault="00583D22" w:rsidP="003847C5">
      <w:pPr>
        <w:jc w:val="both"/>
        <w:rPr>
          <w:color w:val="0563C1" w:themeColor="hyperlink"/>
          <w:u w:val="single"/>
        </w:rPr>
      </w:pPr>
    </w:p>
    <w:p w14:paraId="57D42095" w14:textId="7FF2D24F" w:rsidR="00583D22" w:rsidRDefault="00583D22" w:rsidP="003847C5">
      <w:pPr>
        <w:jc w:val="both"/>
        <w:rPr>
          <w:color w:val="0563C1" w:themeColor="hyperlink"/>
          <w:u w:val="single"/>
        </w:rPr>
      </w:pPr>
    </w:p>
    <w:p w14:paraId="217B2D44" w14:textId="77777777" w:rsidR="00583D22" w:rsidRPr="00583D22" w:rsidRDefault="00583D22" w:rsidP="003847C5">
      <w:pPr>
        <w:jc w:val="both"/>
        <w:rPr>
          <w:color w:val="0563C1" w:themeColor="hyperlink"/>
          <w:u w:val="single"/>
        </w:rPr>
      </w:pPr>
    </w:p>
    <w:p w14:paraId="5C36E454" w14:textId="77777777" w:rsidR="0028583C" w:rsidRDefault="008B5162" w:rsidP="0075660F">
      <w:pPr>
        <w:pStyle w:val="Titre1"/>
        <w:numPr>
          <w:ilvl w:val="0"/>
          <w:numId w:val="3"/>
        </w:numPr>
        <w:jc w:val="both"/>
      </w:pPr>
      <w:r>
        <w:lastRenderedPageBreak/>
        <w:t>Critères de sélection :</w:t>
      </w:r>
    </w:p>
    <w:p w14:paraId="40E247A7" w14:textId="77777777" w:rsidR="0028583C" w:rsidRPr="0028583C" w:rsidRDefault="0028583C" w:rsidP="0075660F">
      <w:pPr>
        <w:jc w:val="both"/>
      </w:pPr>
    </w:p>
    <w:p w14:paraId="43E3A30A" w14:textId="77777777" w:rsidR="0028583C" w:rsidRDefault="0028583C" w:rsidP="0075660F">
      <w:pPr>
        <w:autoSpaceDE w:val="0"/>
        <w:autoSpaceDN w:val="0"/>
        <w:adjustRightInd w:val="0"/>
        <w:spacing w:after="0" w:line="240" w:lineRule="auto"/>
        <w:jc w:val="both"/>
        <w:rPr>
          <w:rFonts w:cs="Arial"/>
          <w:color w:val="000000"/>
          <w:szCs w:val="20"/>
        </w:rPr>
      </w:pPr>
      <w:r>
        <w:rPr>
          <w:rFonts w:cs="Arial"/>
          <w:color w:val="000000"/>
          <w:szCs w:val="20"/>
        </w:rPr>
        <w:t>Les projets seront appréciés sur la base :</w:t>
      </w:r>
    </w:p>
    <w:p w14:paraId="0EF29A84" w14:textId="77777777" w:rsidR="0028583C" w:rsidRDefault="0028583C" w:rsidP="0075660F">
      <w:pPr>
        <w:autoSpaceDE w:val="0"/>
        <w:autoSpaceDN w:val="0"/>
        <w:adjustRightInd w:val="0"/>
        <w:spacing w:after="0" w:line="240" w:lineRule="auto"/>
        <w:jc w:val="both"/>
        <w:rPr>
          <w:rFonts w:cs="Arial"/>
          <w:color w:val="000000"/>
          <w:szCs w:val="20"/>
        </w:rPr>
      </w:pPr>
    </w:p>
    <w:p w14:paraId="0C1E724D" w14:textId="77777777" w:rsidR="0028583C" w:rsidRDefault="0028583C" w:rsidP="0075660F">
      <w:pPr>
        <w:pStyle w:val="Sansinterligne"/>
        <w:numPr>
          <w:ilvl w:val="0"/>
          <w:numId w:val="4"/>
        </w:numPr>
        <w:jc w:val="both"/>
        <w:rPr>
          <w:rFonts w:asciiTheme="minorHAnsi" w:hAnsiTheme="minorHAnsi"/>
          <w:lang w:eastAsia="fr-FR"/>
        </w:rPr>
      </w:pPr>
      <w:r>
        <w:rPr>
          <w:rFonts w:asciiTheme="minorHAnsi" w:hAnsiTheme="minorHAnsi"/>
          <w:lang w:eastAsia="fr-FR"/>
        </w:rPr>
        <w:t>De l’adéquation avec la thématique de l’AMI,</w:t>
      </w:r>
    </w:p>
    <w:p w14:paraId="0713BE3B" w14:textId="77777777" w:rsidR="0028583C" w:rsidRDefault="0028583C" w:rsidP="0075660F">
      <w:pPr>
        <w:pStyle w:val="Sansinterligne"/>
        <w:numPr>
          <w:ilvl w:val="0"/>
          <w:numId w:val="4"/>
        </w:numPr>
        <w:jc w:val="both"/>
        <w:rPr>
          <w:rFonts w:asciiTheme="minorHAnsi" w:hAnsiTheme="minorHAnsi"/>
          <w:lang w:eastAsia="fr-FR"/>
        </w:rPr>
      </w:pPr>
      <w:r>
        <w:rPr>
          <w:rFonts w:asciiTheme="minorHAnsi" w:hAnsiTheme="minorHAnsi"/>
          <w:lang w:eastAsia="fr-FR"/>
        </w:rPr>
        <w:t>Du caractère innovant,</w:t>
      </w:r>
    </w:p>
    <w:p w14:paraId="1B759123" w14:textId="77777777" w:rsidR="0028583C" w:rsidRDefault="0028583C" w:rsidP="0075660F">
      <w:pPr>
        <w:pStyle w:val="Sansinterligne"/>
        <w:numPr>
          <w:ilvl w:val="0"/>
          <w:numId w:val="4"/>
        </w:numPr>
        <w:jc w:val="both"/>
        <w:rPr>
          <w:rFonts w:asciiTheme="minorHAnsi" w:hAnsiTheme="minorHAnsi"/>
          <w:lang w:eastAsia="fr-FR"/>
        </w:rPr>
      </w:pPr>
      <w:r>
        <w:rPr>
          <w:rFonts w:asciiTheme="minorHAnsi" w:hAnsiTheme="minorHAnsi"/>
          <w:lang w:eastAsia="fr-FR"/>
        </w:rPr>
        <w:t>De la faisabilité technique, économique et juridique du projet,</w:t>
      </w:r>
    </w:p>
    <w:p w14:paraId="084DABEF" w14:textId="77777777" w:rsidR="0028583C" w:rsidRDefault="0028583C" w:rsidP="0075660F">
      <w:pPr>
        <w:pStyle w:val="Sansinterligne"/>
        <w:numPr>
          <w:ilvl w:val="0"/>
          <w:numId w:val="4"/>
        </w:numPr>
        <w:jc w:val="both"/>
        <w:rPr>
          <w:rFonts w:asciiTheme="minorHAnsi" w:hAnsiTheme="minorHAnsi"/>
          <w:lang w:eastAsia="fr-FR"/>
        </w:rPr>
      </w:pPr>
      <w:r>
        <w:rPr>
          <w:rFonts w:asciiTheme="minorHAnsi" w:hAnsiTheme="minorHAnsi"/>
          <w:lang w:eastAsia="fr-FR"/>
        </w:rPr>
        <w:t xml:space="preserve">De la maturité technologique du projet </w:t>
      </w:r>
    </w:p>
    <w:p w14:paraId="26C9967D" w14:textId="77777777" w:rsidR="0028583C" w:rsidRDefault="0028583C" w:rsidP="0075660F">
      <w:pPr>
        <w:pStyle w:val="Sansinterligne"/>
        <w:numPr>
          <w:ilvl w:val="0"/>
          <w:numId w:val="4"/>
        </w:numPr>
        <w:jc w:val="both"/>
        <w:rPr>
          <w:rFonts w:asciiTheme="minorHAnsi" w:hAnsiTheme="minorHAnsi"/>
          <w:lang w:eastAsia="fr-FR"/>
        </w:rPr>
      </w:pPr>
      <w:r>
        <w:rPr>
          <w:rFonts w:asciiTheme="minorHAnsi" w:hAnsiTheme="minorHAnsi"/>
          <w:lang w:eastAsia="fr-FR"/>
        </w:rPr>
        <w:t>De la capacité des acteurs à commencer à déployer les solutions sur site d’expérimentation avant la fin de l’année 2019</w:t>
      </w:r>
    </w:p>
    <w:p w14:paraId="1E9F08C3" w14:textId="64FF8435" w:rsidR="008C6ECD" w:rsidRDefault="008C6ECD" w:rsidP="0075660F">
      <w:pPr>
        <w:pStyle w:val="Sansinterligne"/>
        <w:numPr>
          <w:ilvl w:val="0"/>
          <w:numId w:val="4"/>
        </w:numPr>
        <w:jc w:val="both"/>
        <w:rPr>
          <w:rFonts w:asciiTheme="minorHAnsi" w:hAnsiTheme="minorHAnsi"/>
          <w:lang w:eastAsia="fr-FR"/>
        </w:rPr>
      </w:pPr>
      <w:r>
        <w:rPr>
          <w:rFonts w:asciiTheme="minorHAnsi" w:hAnsiTheme="minorHAnsi"/>
          <w:lang w:eastAsia="fr-FR"/>
        </w:rPr>
        <w:t xml:space="preserve">De la capacité des acteurs à mobiliser des </w:t>
      </w:r>
      <w:r w:rsidR="0075660F">
        <w:rPr>
          <w:rFonts w:asciiTheme="minorHAnsi" w:hAnsiTheme="minorHAnsi"/>
          <w:lang w:eastAsia="fr-FR"/>
        </w:rPr>
        <w:t>entreprises et sociétés des filières de l’industrie des déchets et de la robotique en France.</w:t>
      </w:r>
    </w:p>
    <w:p w14:paraId="397FE382" w14:textId="44BA88EE" w:rsidR="00890DAB" w:rsidRDefault="00890DAB" w:rsidP="0075660F">
      <w:pPr>
        <w:pStyle w:val="Sansinterligne"/>
        <w:numPr>
          <w:ilvl w:val="0"/>
          <w:numId w:val="4"/>
        </w:numPr>
        <w:jc w:val="both"/>
        <w:rPr>
          <w:rFonts w:asciiTheme="minorHAnsi" w:hAnsiTheme="minorHAnsi"/>
          <w:lang w:eastAsia="fr-FR"/>
        </w:rPr>
      </w:pPr>
      <w:r>
        <w:rPr>
          <w:rFonts w:asciiTheme="minorHAnsi" w:hAnsiTheme="minorHAnsi"/>
          <w:lang w:eastAsia="fr-FR"/>
        </w:rPr>
        <w:t>De la capacité des acteurs à identifier les freins et verrous techniques et de proposer des solutions adaptées</w:t>
      </w:r>
    </w:p>
    <w:p w14:paraId="561FE207" w14:textId="1A21024A" w:rsidR="0028583C" w:rsidRDefault="0028583C" w:rsidP="0075660F">
      <w:pPr>
        <w:jc w:val="both"/>
      </w:pPr>
    </w:p>
    <w:p w14:paraId="7F619716" w14:textId="77777777" w:rsidR="00240B95" w:rsidRPr="0028583C" w:rsidRDefault="00240B95" w:rsidP="0075660F">
      <w:pPr>
        <w:jc w:val="both"/>
      </w:pPr>
    </w:p>
    <w:p w14:paraId="202F016F" w14:textId="77777777" w:rsidR="008B5162" w:rsidRDefault="008B5162" w:rsidP="0075660F">
      <w:pPr>
        <w:pStyle w:val="Titre1"/>
        <w:numPr>
          <w:ilvl w:val="0"/>
          <w:numId w:val="3"/>
        </w:numPr>
        <w:jc w:val="both"/>
      </w:pPr>
      <w:r>
        <w:t>Dépôt des dossiers de candidature :</w:t>
      </w:r>
    </w:p>
    <w:p w14:paraId="4656BF76" w14:textId="77777777" w:rsidR="000D726C" w:rsidRDefault="000D726C" w:rsidP="0075660F">
      <w:pPr>
        <w:jc w:val="both"/>
      </w:pPr>
    </w:p>
    <w:p w14:paraId="73A2A392" w14:textId="61742395" w:rsidR="005712A0" w:rsidRPr="00B9657C" w:rsidRDefault="0028583C" w:rsidP="005712A0">
      <w:pPr>
        <w:jc w:val="center"/>
      </w:pPr>
      <w:r>
        <w:t xml:space="preserve">Les candidats </w:t>
      </w:r>
      <w:r w:rsidR="005712A0">
        <w:t>sont invités à transmettre</w:t>
      </w:r>
      <w:r>
        <w:t xml:space="preserve"> leur fiche de candidature à l’adresse suivante </w:t>
      </w:r>
      <w:r w:rsidR="005712A0" w:rsidRPr="00CD337A">
        <w:rPr>
          <w:b/>
        </w:rPr>
        <w:t>avant le lundi 8 juillet 2019 à 12h</w:t>
      </w:r>
      <w:r w:rsidR="005712A0">
        <w:t xml:space="preserve"> à :</w:t>
      </w:r>
    </w:p>
    <w:p w14:paraId="3DAE3C05" w14:textId="0D845A41" w:rsidR="005712A0" w:rsidRPr="00583D22" w:rsidRDefault="00F41BDD" w:rsidP="00583D22">
      <w:pPr>
        <w:jc w:val="center"/>
        <w:rPr>
          <w:rStyle w:val="Lienhypertexte"/>
          <w:color w:val="auto"/>
          <w:u w:val="none"/>
        </w:rPr>
      </w:pPr>
      <w:hyperlink r:id="rId15" w:history="1">
        <w:r w:rsidR="00360259">
          <w:rPr>
            <w:rStyle w:val="Lienhypertexte"/>
          </w:rPr>
          <w:t>robotique@cme-france.fr</w:t>
        </w:r>
      </w:hyperlink>
    </w:p>
    <w:p w14:paraId="4657305A" w14:textId="60997CC6" w:rsidR="00CC2703" w:rsidRDefault="00CC2703" w:rsidP="0075660F">
      <w:pPr>
        <w:jc w:val="center"/>
      </w:pPr>
    </w:p>
    <w:p w14:paraId="475AF06C" w14:textId="77777777" w:rsidR="00CC2703" w:rsidRDefault="00CC2703" w:rsidP="0075660F">
      <w:pPr>
        <w:pStyle w:val="Titre1"/>
        <w:numPr>
          <w:ilvl w:val="0"/>
          <w:numId w:val="3"/>
        </w:numPr>
        <w:jc w:val="both"/>
      </w:pPr>
      <w:r>
        <w:t>Etapes de l’AMI :</w:t>
      </w:r>
    </w:p>
    <w:p w14:paraId="06C633FB" w14:textId="77777777" w:rsidR="00CC2703" w:rsidRDefault="00CC2703" w:rsidP="0075660F">
      <w:pPr>
        <w:jc w:val="both"/>
      </w:pPr>
    </w:p>
    <w:p w14:paraId="2913433A" w14:textId="634D26D9" w:rsidR="00CC2703" w:rsidRDefault="00CC2703" w:rsidP="0075660F">
      <w:pPr>
        <w:pStyle w:val="Paragraphedeliste"/>
        <w:numPr>
          <w:ilvl w:val="0"/>
          <w:numId w:val="7"/>
        </w:numPr>
        <w:jc w:val="both"/>
      </w:pPr>
      <w:r>
        <w:t>Dépôt de candidature</w:t>
      </w:r>
      <w:r w:rsidR="005712A0">
        <w:t xml:space="preserve"> au plus tard le 8 juillet 2019 à 12h</w:t>
      </w:r>
    </w:p>
    <w:p w14:paraId="6306E342" w14:textId="4ECB2619" w:rsidR="00CC2703" w:rsidRDefault="00CC2703" w:rsidP="0075660F">
      <w:pPr>
        <w:pStyle w:val="Paragraphedeliste"/>
        <w:numPr>
          <w:ilvl w:val="0"/>
          <w:numId w:val="7"/>
        </w:numPr>
        <w:jc w:val="both"/>
      </w:pPr>
      <w:r>
        <w:t xml:space="preserve">Commission de </w:t>
      </w:r>
      <w:r w:rsidR="00884F7A">
        <w:t>pré-</w:t>
      </w:r>
      <w:r>
        <w:t xml:space="preserve">sélection des dossiers par le CSF « Traitement et valorisation des déchets » </w:t>
      </w:r>
      <w:bookmarkStart w:id="2" w:name="_GoBack"/>
      <w:bookmarkEnd w:id="2"/>
      <w:r>
        <w:t>le mercredi 10 et jeudi 18 juillet 2019</w:t>
      </w:r>
      <w:r w:rsidR="00CD337A">
        <w:t>. Le comité de sélection associe des représentants de FEDEREC, FNADE, Axelera et TEAM2</w:t>
      </w:r>
      <w:r w:rsidR="007471D4">
        <w:t>, ainsi que des experts de la filière robotique</w:t>
      </w:r>
      <w:r w:rsidR="00FE50D3">
        <w:t>.</w:t>
      </w:r>
      <w:r w:rsidR="007471D4">
        <w:t xml:space="preserve"> La liste des membres du comité sera communiquée </w:t>
      </w:r>
      <w:r w:rsidR="0042155C">
        <w:t>aux candidats avant le début des réunions de commission.</w:t>
      </w:r>
    </w:p>
    <w:p w14:paraId="1A4936FE" w14:textId="7BB9EE40" w:rsidR="00CC2703" w:rsidRDefault="00CC2703" w:rsidP="0075660F">
      <w:pPr>
        <w:pStyle w:val="Paragraphedeliste"/>
        <w:numPr>
          <w:ilvl w:val="0"/>
          <w:numId w:val="7"/>
        </w:numPr>
        <w:jc w:val="both"/>
      </w:pPr>
      <w:r>
        <w:t xml:space="preserve">Retour individualisé aux candidats </w:t>
      </w:r>
      <w:r w:rsidR="005712A0">
        <w:t>au plus tard le 26</w:t>
      </w:r>
      <w:r>
        <w:t xml:space="preserve"> juillet</w:t>
      </w:r>
    </w:p>
    <w:p w14:paraId="05CF63DA" w14:textId="26F60117" w:rsidR="00CC2703" w:rsidRDefault="00CC2703" w:rsidP="0075660F">
      <w:pPr>
        <w:pStyle w:val="Paragraphedeliste"/>
        <w:numPr>
          <w:ilvl w:val="0"/>
          <w:numId w:val="7"/>
        </w:numPr>
        <w:jc w:val="both"/>
      </w:pPr>
      <w:r>
        <w:t>Phase d’accompagnement </w:t>
      </w:r>
    </w:p>
    <w:p w14:paraId="003650CE" w14:textId="4F2340BC" w:rsidR="00B9657C" w:rsidRDefault="005712A0" w:rsidP="0075660F">
      <w:pPr>
        <w:pStyle w:val="Paragraphedeliste"/>
        <w:numPr>
          <w:ilvl w:val="1"/>
          <w:numId w:val="7"/>
        </w:numPr>
        <w:jc w:val="both"/>
      </w:pPr>
      <w:r>
        <w:t>Si nécessaire, i</w:t>
      </w:r>
      <w:r w:rsidR="00B9657C">
        <w:t>dentification de partenaires</w:t>
      </w:r>
    </w:p>
    <w:p w14:paraId="3EC6A190" w14:textId="77777777" w:rsidR="00B9657C" w:rsidRDefault="00B9657C" w:rsidP="0075660F">
      <w:pPr>
        <w:pStyle w:val="Paragraphedeliste"/>
        <w:numPr>
          <w:ilvl w:val="1"/>
          <w:numId w:val="7"/>
        </w:numPr>
        <w:jc w:val="both"/>
      </w:pPr>
      <w:r>
        <w:t>Organisation des consortiums</w:t>
      </w:r>
    </w:p>
    <w:p w14:paraId="208EF92B" w14:textId="309C207E" w:rsidR="00B9657C" w:rsidRDefault="00B9657C" w:rsidP="0075660F">
      <w:pPr>
        <w:pStyle w:val="Paragraphedeliste"/>
        <w:numPr>
          <w:ilvl w:val="1"/>
          <w:numId w:val="7"/>
        </w:numPr>
        <w:jc w:val="both"/>
      </w:pPr>
      <w:r>
        <w:t>Présentation du projet aux financeurs publics et privés</w:t>
      </w:r>
      <w:r w:rsidR="0042155C">
        <w:t xml:space="preserve"> (donneurs d’ordre, gestionnaires de déchets…)</w:t>
      </w:r>
    </w:p>
    <w:p w14:paraId="30540354" w14:textId="0A9925C6" w:rsidR="00CC2703" w:rsidRPr="00CC2703" w:rsidRDefault="00CC2703" w:rsidP="0075660F">
      <w:pPr>
        <w:pStyle w:val="Paragraphedeliste"/>
        <w:numPr>
          <w:ilvl w:val="0"/>
          <w:numId w:val="7"/>
        </w:numPr>
        <w:jc w:val="both"/>
      </w:pPr>
      <w:r>
        <w:t xml:space="preserve">Annonce publique et officielle des projets sélectionnés : mercredi 2 octobre </w:t>
      </w:r>
      <w:r w:rsidR="005712A0">
        <w:t xml:space="preserve">2019 </w:t>
      </w:r>
      <w:r>
        <w:t>lors des Assises des Déchets à Nantes</w:t>
      </w:r>
    </w:p>
    <w:p w14:paraId="221082F0" w14:textId="77777777" w:rsidR="00CC2703" w:rsidRDefault="00CC2703" w:rsidP="0075660F">
      <w:pPr>
        <w:jc w:val="both"/>
        <w:rPr>
          <w:rFonts w:asciiTheme="majorHAnsi" w:eastAsiaTheme="majorEastAsia" w:hAnsiTheme="majorHAnsi" w:cstheme="majorBidi"/>
          <w:color w:val="2F5496" w:themeColor="accent1" w:themeShade="BF"/>
          <w:sz w:val="32"/>
          <w:szCs w:val="32"/>
        </w:rPr>
      </w:pPr>
    </w:p>
    <w:p w14:paraId="6E7BE75C" w14:textId="77777777" w:rsidR="00B9657C" w:rsidRDefault="00B9657C" w:rsidP="0075660F">
      <w:pPr>
        <w:jc w:val="both"/>
        <w:rPr>
          <w:rFonts w:asciiTheme="majorHAnsi" w:eastAsiaTheme="majorEastAsia" w:hAnsiTheme="majorHAnsi" w:cstheme="majorBidi"/>
          <w:color w:val="2F5496" w:themeColor="accent1" w:themeShade="BF"/>
          <w:sz w:val="32"/>
          <w:szCs w:val="32"/>
        </w:rPr>
      </w:pPr>
      <w:r>
        <w:br w:type="page"/>
      </w:r>
    </w:p>
    <w:p w14:paraId="22679AC7" w14:textId="77777777" w:rsidR="000D726C" w:rsidRPr="000D726C" w:rsidRDefault="000D726C" w:rsidP="0075660F">
      <w:pPr>
        <w:pStyle w:val="Titre1"/>
        <w:jc w:val="both"/>
      </w:pPr>
      <w:r>
        <w:lastRenderedPageBreak/>
        <w:t>Annexe</w:t>
      </w:r>
      <w:r w:rsidR="00FD4654">
        <w:t xml:space="preserve"> 1</w:t>
      </w:r>
      <w:r>
        <w:t xml:space="preserve"> : fiche </w:t>
      </w:r>
      <w:r w:rsidR="00FD4654">
        <w:t>projet apporteur de solution</w:t>
      </w:r>
    </w:p>
    <w:p w14:paraId="7BA97C90" w14:textId="77777777" w:rsidR="00AE2BE3" w:rsidRDefault="00AE2BE3" w:rsidP="0075660F">
      <w:pPr>
        <w:jc w:val="both"/>
      </w:pPr>
    </w:p>
    <w:p w14:paraId="301C89F6" w14:textId="77777777" w:rsidR="000D726C" w:rsidRDefault="000D726C" w:rsidP="0075660F">
      <w:pPr>
        <w:autoSpaceDE w:val="0"/>
        <w:autoSpaceDN w:val="0"/>
        <w:adjustRightInd w:val="0"/>
        <w:spacing w:before="120" w:after="120"/>
        <w:jc w:val="both"/>
        <w:rPr>
          <w:rFonts w:ascii="Century Gothic" w:hAnsi="Century Gothic"/>
          <w:b/>
          <w:bCs/>
          <w:noProof/>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08"/>
        <w:gridCol w:w="4913"/>
        <w:gridCol w:w="1941"/>
      </w:tblGrid>
      <w:tr w:rsidR="000D726C" w14:paraId="6C87472A" w14:textId="77777777" w:rsidTr="000D726C">
        <w:trPr>
          <w:trHeight w:val="70"/>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E6E6E6"/>
          </w:tcPr>
          <w:p w14:paraId="51E580B3" w14:textId="77777777" w:rsidR="000D726C" w:rsidRDefault="000D726C" w:rsidP="0075660F">
            <w:pPr>
              <w:autoSpaceDE w:val="0"/>
              <w:autoSpaceDN w:val="0"/>
              <w:adjustRightInd w:val="0"/>
              <w:spacing w:line="276" w:lineRule="auto"/>
              <w:jc w:val="both"/>
              <w:rPr>
                <w:rFonts w:ascii="Century Gothic" w:hAnsi="Century Gothic"/>
                <w:b/>
                <w:bCs/>
                <w:noProof/>
                <w:sz w:val="12"/>
                <w:szCs w:val="12"/>
                <w:lang w:eastAsia="en-US"/>
              </w:rPr>
            </w:pPr>
          </w:p>
        </w:tc>
      </w:tr>
      <w:tr w:rsidR="000D726C" w14:paraId="7D4AF658" w14:textId="77777777" w:rsidTr="000D726C">
        <w:trPr>
          <w:trHeight w:val="510"/>
        </w:trPr>
        <w:tc>
          <w:tcPr>
            <w:tcW w:w="1218" w:type="pct"/>
            <w:tcBorders>
              <w:top w:val="single" w:sz="4" w:space="0" w:color="999999"/>
              <w:left w:val="single" w:sz="4" w:space="0" w:color="999999"/>
              <w:bottom w:val="single" w:sz="4" w:space="0" w:color="999999"/>
              <w:right w:val="single" w:sz="4" w:space="0" w:color="999999"/>
            </w:tcBorders>
            <w:hideMark/>
          </w:tcPr>
          <w:p w14:paraId="1CC204EE" w14:textId="77777777" w:rsidR="000D726C" w:rsidRDefault="000D726C" w:rsidP="0075660F">
            <w:pPr>
              <w:autoSpaceDE w:val="0"/>
              <w:autoSpaceDN w:val="0"/>
              <w:adjustRightInd w:val="0"/>
              <w:spacing w:before="120" w:after="12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 xml:space="preserve">Acronyme du projet :         </w:t>
            </w:r>
          </w:p>
        </w:tc>
        <w:tc>
          <w:tcPr>
            <w:tcW w:w="2711" w:type="pct"/>
            <w:tcBorders>
              <w:top w:val="single" w:sz="4" w:space="0" w:color="999999"/>
              <w:left w:val="single" w:sz="4" w:space="0" w:color="999999"/>
              <w:bottom w:val="single" w:sz="4" w:space="0" w:color="999999"/>
              <w:right w:val="single" w:sz="4" w:space="0" w:color="999999"/>
            </w:tcBorders>
            <w:hideMark/>
          </w:tcPr>
          <w:p w14:paraId="5A43DCE0" w14:textId="77777777" w:rsidR="000D726C" w:rsidRDefault="000D726C" w:rsidP="0075660F">
            <w:pPr>
              <w:autoSpaceDE w:val="0"/>
              <w:autoSpaceDN w:val="0"/>
              <w:adjustRightInd w:val="0"/>
              <w:spacing w:before="120" w:after="12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 xml:space="preserve">Porteur principal du projet : </w:t>
            </w:r>
            <w:r>
              <w:rPr>
                <w:rFonts w:ascii="Century Gothic" w:hAnsi="Century Gothic"/>
                <w:noProof/>
                <w:sz w:val="18"/>
                <w:szCs w:val="18"/>
                <w:lang w:eastAsia="en-US"/>
              </w:rPr>
              <w:t>Entité / responsable du projet et coordonnées</w:t>
            </w:r>
          </w:p>
        </w:tc>
        <w:tc>
          <w:tcPr>
            <w:tcW w:w="1071" w:type="pct"/>
            <w:tcBorders>
              <w:top w:val="single" w:sz="4" w:space="0" w:color="999999"/>
              <w:left w:val="single" w:sz="4" w:space="0" w:color="999999"/>
              <w:bottom w:val="single" w:sz="4" w:space="0" w:color="999999"/>
              <w:right w:val="single" w:sz="4" w:space="0" w:color="999999"/>
            </w:tcBorders>
            <w:hideMark/>
          </w:tcPr>
          <w:p w14:paraId="787D62FA" w14:textId="77777777" w:rsidR="000D726C" w:rsidRDefault="000D726C" w:rsidP="0075660F">
            <w:pPr>
              <w:autoSpaceDE w:val="0"/>
              <w:autoSpaceDN w:val="0"/>
              <w:adjustRightInd w:val="0"/>
              <w:spacing w:before="120" w:after="120" w:line="276" w:lineRule="auto"/>
              <w:jc w:val="both"/>
              <w:rPr>
                <w:rFonts w:ascii="Century Gothic" w:hAnsi="Century Gothic"/>
                <w:noProof/>
                <w:sz w:val="18"/>
                <w:szCs w:val="18"/>
                <w:lang w:eastAsia="en-US"/>
              </w:rPr>
            </w:pPr>
            <w:r>
              <w:rPr>
                <w:rFonts w:ascii="Century Gothic" w:hAnsi="Century Gothic"/>
                <w:b/>
                <w:bCs/>
                <w:noProof/>
                <w:sz w:val="18"/>
                <w:szCs w:val="18"/>
                <w:lang w:eastAsia="en-US"/>
              </w:rPr>
              <w:t xml:space="preserve">Date :   </w:t>
            </w:r>
            <w:r>
              <w:rPr>
                <w:rFonts w:ascii="Century Gothic" w:hAnsi="Century Gothic"/>
                <w:i/>
                <w:iCs/>
                <w:noProof/>
                <w:sz w:val="18"/>
                <w:szCs w:val="18"/>
                <w:lang w:eastAsia="en-US"/>
              </w:rPr>
              <w:t>JJ/MM/AAAA</w:t>
            </w:r>
          </w:p>
        </w:tc>
      </w:tr>
      <w:tr w:rsidR="000D726C" w14:paraId="18E7F775" w14:textId="77777777" w:rsidTr="000D726C">
        <w:trPr>
          <w:trHeight w:val="510"/>
        </w:trPr>
        <w:tc>
          <w:tcPr>
            <w:tcW w:w="5000" w:type="pct"/>
            <w:gridSpan w:val="3"/>
            <w:tcBorders>
              <w:top w:val="single" w:sz="4" w:space="0" w:color="999999"/>
              <w:left w:val="single" w:sz="4" w:space="0" w:color="999999"/>
              <w:bottom w:val="single" w:sz="4" w:space="0" w:color="999999"/>
              <w:right w:val="single" w:sz="4" w:space="0" w:color="999999"/>
            </w:tcBorders>
            <w:hideMark/>
          </w:tcPr>
          <w:p w14:paraId="3FD992F8" w14:textId="77777777" w:rsidR="000D726C" w:rsidRDefault="000D726C" w:rsidP="0075660F">
            <w:pPr>
              <w:autoSpaceDE w:val="0"/>
              <w:autoSpaceDN w:val="0"/>
              <w:adjustRightInd w:val="0"/>
              <w:spacing w:before="120" w:after="120" w:line="276" w:lineRule="auto"/>
              <w:jc w:val="both"/>
              <w:rPr>
                <w:rFonts w:ascii="Century Gothic" w:hAnsi="Century Gothic"/>
                <w:i/>
                <w:iCs/>
                <w:noProof/>
                <w:sz w:val="18"/>
                <w:szCs w:val="18"/>
                <w:lang w:eastAsia="en-US"/>
              </w:rPr>
            </w:pPr>
            <w:r>
              <w:rPr>
                <w:rFonts w:ascii="Century Gothic" w:hAnsi="Century Gothic"/>
                <w:b/>
                <w:bCs/>
                <w:noProof/>
                <w:sz w:val="18"/>
                <w:szCs w:val="18"/>
                <w:lang w:eastAsia="en-US"/>
              </w:rPr>
              <w:t xml:space="preserve">Titre du projet :            </w:t>
            </w:r>
          </w:p>
        </w:tc>
      </w:tr>
      <w:tr w:rsidR="000D726C" w14:paraId="2C46751F" w14:textId="77777777" w:rsidTr="000D726C">
        <w:trPr>
          <w:trHeight w:val="70"/>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E6E6E6"/>
          </w:tcPr>
          <w:p w14:paraId="70273C70" w14:textId="77777777" w:rsidR="000D726C" w:rsidRDefault="000D726C" w:rsidP="0075660F">
            <w:pPr>
              <w:autoSpaceDE w:val="0"/>
              <w:autoSpaceDN w:val="0"/>
              <w:adjustRightInd w:val="0"/>
              <w:spacing w:line="276" w:lineRule="auto"/>
              <w:jc w:val="both"/>
              <w:rPr>
                <w:rFonts w:ascii="Century Gothic" w:hAnsi="Century Gothic"/>
                <w:b/>
                <w:bCs/>
                <w:noProof/>
                <w:sz w:val="12"/>
                <w:szCs w:val="12"/>
                <w:lang w:eastAsia="en-US"/>
              </w:rPr>
            </w:pPr>
          </w:p>
        </w:tc>
      </w:tr>
      <w:tr w:rsidR="000D726C" w14:paraId="1AAB461F" w14:textId="77777777" w:rsidTr="000D726C">
        <w:tc>
          <w:tcPr>
            <w:tcW w:w="5000" w:type="pct"/>
            <w:gridSpan w:val="3"/>
            <w:tcBorders>
              <w:top w:val="single" w:sz="4" w:space="0" w:color="999999"/>
              <w:left w:val="single" w:sz="4" w:space="0" w:color="999999"/>
              <w:bottom w:val="single" w:sz="4" w:space="0" w:color="999999"/>
              <w:right w:val="single" w:sz="4" w:space="0" w:color="999999"/>
            </w:tcBorders>
          </w:tcPr>
          <w:p w14:paraId="2607F769" w14:textId="77777777" w:rsidR="000D726C" w:rsidRPr="000D726C" w:rsidRDefault="00FD4654" w:rsidP="0075660F">
            <w:pPr>
              <w:autoSpaceDE w:val="0"/>
              <w:autoSpaceDN w:val="0"/>
              <w:adjustRightInd w:val="0"/>
              <w:spacing w:before="60" w:after="60" w:line="276" w:lineRule="auto"/>
              <w:jc w:val="both"/>
              <w:rPr>
                <w:rFonts w:ascii="Century Gothic" w:hAnsi="Century Gothic"/>
                <w:i/>
                <w:iCs/>
                <w:noProof/>
                <w:sz w:val="18"/>
                <w:szCs w:val="18"/>
                <w:lang w:eastAsia="en-US"/>
              </w:rPr>
            </w:pPr>
            <w:r>
              <w:rPr>
                <w:rFonts w:ascii="Century Gothic" w:hAnsi="Century Gothic"/>
                <w:b/>
                <w:bCs/>
                <w:noProof/>
                <w:sz w:val="18"/>
                <w:szCs w:val="18"/>
                <w:lang w:eastAsia="en-US"/>
              </w:rPr>
              <w:t>Description du projet</w:t>
            </w:r>
            <w:r w:rsidR="000D726C">
              <w:rPr>
                <w:rFonts w:ascii="Century Gothic" w:hAnsi="Century Gothic"/>
                <w:b/>
                <w:bCs/>
                <w:noProof/>
                <w:sz w:val="18"/>
                <w:szCs w:val="18"/>
                <w:lang w:eastAsia="en-US"/>
              </w:rPr>
              <w:t xml:space="preserve"> </w:t>
            </w:r>
            <w:r w:rsidR="000D726C">
              <w:rPr>
                <w:rFonts w:ascii="Century Gothic" w:hAnsi="Century Gothic"/>
                <w:i/>
                <w:iCs/>
                <w:noProof/>
                <w:sz w:val="18"/>
                <w:szCs w:val="18"/>
                <w:lang w:eastAsia="en-US"/>
              </w:rPr>
              <w:t>(maximum 20  lignes)</w:t>
            </w:r>
          </w:p>
        </w:tc>
      </w:tr>
      <w:tr w:rsidR="000D726C" w14:paraId="23433497" w14:textId="77777777" w:rsidTr="000D726C">
        <w:tc>
          <w:tcPr>
            <w:tcW w:w="5000" w:type="pct"/>
            <w:gridSpan w:val="3"/>
            <w:tcBorders>
              <w:top w:val="single" w:sz="4" w:space="0" w:color="999999"/>
              <w:left w:val="single" w:sz="4" w:space="0" w:color="999999"/>
              <w:bottom w:val="single" w:sz="4" w:space="0" w:color="999999"/>
              <w:right w:val="single" w:sz="4" w:space="0" w:color="999999"/>
            </w:tcBorders>
          </w:tcPr>
          <w:p w14:paraId="37ADD7F9" w14:textId="77777777" w:rsidR="000D726C" w:rsidRDefault="000D726C" w:rsidP="0075660F">
            <w:pPr>
              <w:autoSpaceDE w:val="0"/>
              <w:autoSpaceDN w:val="0"/>
              <w:adjustRightInd w:val="0"/>
              <w:spacing w:before="60" w:after="60" w:line="276" w:lineRule="auto"/>
              <w:jc w:val="both"/>
              <w:rPr>
                <w:rFonts w:ascii="Century Gothic" w:hAnsi="Century Gothic"/>
                <w:noProof/>
                <w:sz w:val="18"/>
                <w:szCs w:val="18"/>
                <w:lang w:eastAsia="en-US"/>
              </w:rPr>
            </w:pPr>
            <w:r>
              <w:rPr>
                <w:rFonts w:ascii="Century Gothic" w:hAnsi="Century Gothic"/>
                <w:b/>
                <w:bCs/>
                <w:noProof/>
                <w:sz w:val="18"/>
                <w:szCs w:val="18"/>
                <w:lang w:eastAsia="en-US"/>
              </w:rPr>
              <w:t>Objectifs</w:t>
            </w:r>
            <w:r w:rsidR="00FD4654">
              <w:rPr>
                <w:rFonts w:ascii="Century Gothic" w:hAnsi="Century Gothic"/>
                <w:b/>
                <w:bCs/>
                <w:noProof/>
                <w:sz w:val="18"/>
                <w:szCs w:val="18"/>
                <w:lang w:eastAsia="en-US"/>
              </w:rPr>
              <w:t>, type de flux traités, volumes, cadences, qualité…</w:t>
            </w:r>
            <w:r>
              <w:rPr>
                <w:rFonts w:ascii="Century Gothic" w:hAnsi="Century Gothic"/>
                <w:b/>
                <w:bCs/>
                <w:noProof/>
                <w:sz w:val="18"/>
                <w:szCs w:val="18"/>
                <w:lang w:eastAsia="en-US"/>
              </w:rPr>
              <w:t xml:space="preserve"> </w:t>
            </w:r>
            <w:r>
              <w:rPr>
                <w:rFonts w:ascii="Century Gothic" w:hAnsi="Century Gothic"/>
                <w:i/>
                <w:iCs/>
                <w:noProof/>
                <w:sz w:val="18"/>
                <w:szCs w:val="18"/>
                <w:lang w:eastAsia="en-US"/>
              </w:rPr>
              <w:t>(maximum 20  lignes)</w:t>
            </w:r>
          </w:p>
        </w:tc>
      </w:tr>
      <w:tr w:rsidR="000D726C" w14:paraId="502CD3ED" w14:textId="77777777" w:rsidTr="000D726C">
        <w:tc>
          <w:tcPr>
            <w:tcW w:w="5000" w:type="pct"/>
            <w:gridSpan w:val="3"/>
            <w:tcBorders>
              <w:top w:val="single" w:sz="4" w:space="0" w:color="999999"/>
              <w:left w:val="single" w:sz="4" w:space="0" w:color="999999"/>
              <w:bottom w:val="single" w:sz="4" w:space="0" w:color="999999"/>
              <w:right w:val="single" w:sz="4" w:space="0" w:color="999999"/>
            </w:tcBorders>
          </w:tcPr>
          <w:p w14:paraId="6445431E" w14:textId="77777777" w:rsidR="000D726C" w:rsidRDefault="000D726C" w:rsidP="0075660F">
            <w:pPr>
              <w:autoSpaceDE w:val="0"/>
              <w:autoSpaceDN w:val="0"/>
              <w:adjustRightInd w:val="0"/>
              <w:spacing w:before="60" w:after="6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 xml:space="preserve">Caractère Innovant </w:t>
            </w:r>
            <w:r w:rsidR="00FD4654">
              <w:rPr>
                <w:rFonts w:ascii="Century Gothic" w:hAnsi="Century Gothic"/>
                <w:b/>
                <w:bCs/>
                <w:noProof/>
                <w:sz w:val="18"/>
                <w:szCs w:val="18"/>
                <w:lang w:eastAsia="en-US"/>
              </w:rPr>
              <w:t xml:space="preserve">du projet, niveau de maturité technologique (TRL), verrous techniques et technologiques à valider et/ou lever </w:t>
            </w:r>
            <w:r>
              <w:rPr>
                <w:rFonts w:ascii="Century Gothic" w:hAnsi="Century Gothic"/>
                <w:b/>
                <w:bCs/>
                <w:noProof/>
                <w:sz w:val="18"/>
                <w:szCs w:val="18"/>
                <w:lang w:eastAsia="en-US"/>
              </w:rPr>
              <w:t xml:space="preserve"> </w:t>
            </w:r>
            <w:r>
              <w:rPr>
                <w:rFonts w:ascii="Century Gothic" w:hAnsi="Century Gothic"/>
                <w:i/>
                <w:iCs/>
                <w:noProof/>
                <w:sz w:val="18"/>
                <w:szCs w:val="18"/>
                <w:lang w:eastAsia="en-US"/>
              </w:rPr>
              <w:t>(maximum 20  lignes)</w:t>
            </w:r>
          </w:p>
        </w:tc>
      </w:tr>
      <w:tr w:rsidR="000D726C" w14:paraId="2485DA76" w14:textId="77777777" w:rsidTr="000D726C">
        <w:trPr>
          <w:trHeight w:val="470"/>
        </w:trPr>
        <w:tc>
          <w:tcPr>
            <w:tcW w:w="5000" w:type="pct"/>
            <w:gridSpan w:val="3"/>
            <w:tcBorders>
              <w:top w:val="single" w:sz="4" w:space="0" w:color="999999"/>
              <w:left w:val="single" w:sz="4" w:space="0" w:color="999999"/>
              <w:bottom w:val="single" w:sz="4" w:space="0" w:color="999999"/>
              <w:right w:val="single" w:sz="4" w:space="0" w:color="999999"/>
            </w:tcBorders>
            <w:vAlign w:val="center"/>
          </w:tcPr>
          <w:p w14:paraId="62CB18DE" w14:textId="77777777" w:rsidR="000D726C" w:rsidRPr="000D726C" w:rsidRDefault="00FD4654" w:rsidP="0075660F">
            <w:pPr>
              <w:autoSpaceDE w:val="0"/>
              <w:autoSpaceDN w:val="0"/>
              <w:adjustRightInd w:val="0"/>
              <w:spacing w:before="60" w:after="60" w:line="276" w:lineRule="auto"/>
              <w:jc w:val="both"/>
              <w:rPr>
                <w:rFonts w:ascii="Century Gothic" w:hAnsi="Century Gothic"/>
                <w:i/>
                <w:iCs/>
                <w:noProof/>
                <w:sz w:val="18"/>
                <w:szCs w:val="18"/>
                <w:lang w:eastAsia="en-US"/>
              </w:rPr>
            </w:pPr>
            <w:r>
              <w:rPr>
                <w:rFonts w:ascii="Century Gothic" w:hAnsi="Century Gothic"/>
                <w:b/>
                <w:bCs/>
                <w:noProof/>
                <w:sz w:val="18"/>
                <w:szCs w:val="18"/>
                <w:lang w:eastAsia="en-US"/>
              </w:rPr>
              <w:t xml:space="preserve">Degré de confidentialité et stratégie de propriété industrielle </w:t>
            </w:r>
            <w:r w:rsidR="000D726C">
              <w:rPr>
                <w:rFonts w:ascii="Century Gothic" w:hAnsi="Century Gothic"/>
                <w:i/>
                <w:iCs/>
                <w:noProof/>
                <w:sz w:val="18"/>
                <w:szCs w:val="18"/>
                <w:lang w:eastAsia="en-US"/>
              </w:rPr>
              <w:t>(maximum 20 lignes)</w:t>
            </w:r>
          </w:p>
        </w:tc>
      </w:tr>
      <w:tr w:rsidR="000D726C" w14:paraId="1F1B2A3A" w14:textId="77777777" w:rsidTr="000D726C">
        <w:tc>
          <w:tcPr>
            <w:tcW w:w="5000" w:type="pct"/>
            <w:gridSpan w:val="3"/>
            <w:tcBorders>
              <w:top w:val="single" w:sz="4" w:space="0" w:color="999999"/>
              <w:left w:val="single" w:sz="4" w:space="0" w:color="999999"/>
              <w:bottom w:val="single" w:sz="4" w:space="0" w:color="999999"/>
              <w:right w:val="single" w:sz="4" w:space="0" w:color="999999"/>
            </w:tcBorders>
          </w:tcPr>
          <w:p w14:paraId="3E1AA43A" w14:textId="2D558AFB" w:rsidR="000D726C" w:rsidRPr="000D726C" w:rsidRDefault="000D726C" w:rsidP="0075660F">
            <w:pPr>
              <w:autoSpaceDE w:val="0"/>
              <w:autoSpaceDN w:val="0"/>
              <w:adjustRightInd w:val="0"/>
              <w:spacing w:before="60" w:after="60" w:line="276" w:lineRule="auto"/>
              <w:jc w:val="both"/>
              <w:rPr>
                <w:rFonts w:ascii="Century Gothic" w:hAnsi="Century Gothic"/>
                <w:i/>
                <w:iCs/>
                <w:noProof/>
                <w:sz w:val="18"/>
                <w:szCs w:val="18"/>
                <w:lang w:eastAsia="en-US"/>
              </w:rPr>
            </w:pPr>
            <w:r>
              <w:rPr>
                <w:rFonts w:ascii="Century Gothic" w:hAnsi="Century Gothic"/>
                <w:b/>
                <w:bCs/>
                <w:noProof/>
                <w:sz w:val="18"/>
                <w:szCs w:val="18"/>
                <w:lang w:eastAsia="en-US"/>
              </w:rPr>
              <w:t>Retombées</w:t>
            </w:r>
            <w:r w:rsidR="00FD4654">
              <w:rPr>
                <w:rFonts w:ascii="Century Gothic" w:hAnsi="Century Gothic"/>
                <w:b/>
                <w:bCs/>
                <w:noProof/>
                <w:sz w:val="18"/>
                <w:szCs w:val="18"/>
                <w:lang w:eastAsia="en-US"/>
              </w:rPr>
              <w:t xml:space="preserve"> techniques, scientifiques, économiques et environnementales attendues</w:t>
            </w:r>
            <w:r>
              <w:rPr>
                <w:rFonts w:ascii="Century Gothic" w:hAnsi="Century Gothic"/>
                <w:b/>
                <w:bCs/>
                <w:noProof/>
                <w:sz w:val="18"/>
                <w:szCs w:val="18"/>
                <w:lang w:eastAsia="en-US"/>
              </w:rPr>
              <w:t xml:space="preserve"> </w:t>
            </w:r>
            <w:r>
              <w:rPr>
                <w:rFonts w:ascii="Century Gothic" w:hAnsi="Century Gothic"/>
                <w:i/>
                <w:iCs/>
                <w:noProof/>
                <w:sz w:val="18"/>
                <w:szCs w:val="18"/>
                <w:lang w:eastAsia="en-US"/>
              </w:rPr>
              <w:t>(maxi 20 lignes)</w:t>
            </w:r>
          </w:p>
        </w:tc>
      </w:tr>
      <w:tr w:rsidR="000D726C" w14:paraId="70514C4E" w14:textId="77777777" w:rsidTr="000D726C">
        <w:tc>
          <w:tcPr>
            <w:tcW w:w="5000" w:type="pct"/>
            <w:gridSpan w:val="3"/>
            <w:tcBorders>
              <w:top w:val="single" w:sz="4" w:space="0" w:color="999999"/>
              <w:left w:val="single" w:sz="4" w:space="0" w:color="999999"/>
              <w:bottom w:val="single" w:sz="4" w:space="0" w:color="999999"/>
              <w:right w:val="single" w:sz="4" w:space="0" w:color="999999"/>
            </w:tcBorders>
            <w:shd w:val="clear" w:color="auto" w:fill="E6E6E6"/>
          </w:tcPr>
          <w:p w14:paraId="702FAEC9" w14:textId="77777777" w:rsidR="000D726C" w:rsidRDefault="000D726C" w:rsidP="0075660F">
            <w:pPr>
              <w:autoSpaceDE w:val="0"/>
              <w:autoSpaceDN w:val="0"/>
              <w:adjustRightInd w:val="0"/>
              <w:spacing w:line="276" w:lineRule="auto"/>
              <w:jc w:val="both"/>
              <w:rPr>
                <w:rFonts w:ascii="Century Gothic" w:hAnsi="Century Gothic"/>
                <w:noProof/>
                <w:sz w:val="12"/>
                <w:szCs w:val="12"/>
                <w:lang w:eastAsia="en-US"/>
              </w:rPr>
            </w:pPr>
          </w:p>
        </w:tc>
      </w:tr>
      <w:tr w:rsidR="000D726C" w14:paraId="016752B8" w14:textId="77777777" w:rsidTr="000D726C">
        <w:trPr>
          <w:trHeight w:val="510"/>
        </w:trPr>
        <w:tc>
          <w:tcPr>
            <w:tcW w:w="5000" w:type="pct"/>
            <w:gridSpan w:val="3"/>
            <w:tcBorders>
              <w:top w:val="single" w:sz="4" w:space="0" w:color="999999"/>
              <w:left w:val="single" w:sz="4" w:space="0" w:color="999999"/>
              <w:bottom w:val="single" w:sz="4" w:space="0" w:color="999999"/>
              <w:right w:val="single" w:sz="4" w:space="0" w:color="999999"/>
            </w:tcBorders>
            <w:hideMark/>
          </w:tcPr>
          <w:p w14:paraId="79E92CC4" w14:textId="77777777" w:rsidR="000D726C" w:rsidRDefault="000D726C" w:rsidP="0075660F">
            <w:pPr>
              <w:autoSpaceDE w:val="0"/>
              <w:autoSpaceDN w:val="0"/>
              <w:adjustRightInd w:val="0"/>
              <w:spacing w:before="120" w:after="12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Partenaires du projet </w:t>
            </w:r>
            <w:r w:rsidR="00FD4654">
              <w:rPr>
                <w:rFonts w:ascii="Century Gothic" w:hAnsi="Century Gothic"/>
                <w:b/>
                <w:bCs/>
                <w:noProof/>
                <w:sz w:val="18"/>
                <w:szCs w:val="18"/>
                <w:lang w:eastAsia="en-US"/>
              </w:rPr>
              <w:t xml:space="preserve">pré-identifiés </w:t>
            </w:r>
          </w:p>
        </w:tc>
      </w:tr>
      <w:tr w:rsidR="00FD4654" w14:paraId="0129FE17" w14:textId="77777777" w:rsidTr="000D726C">
        <w:trPr>
          <w:trHeight w:val="510"/>
        </w:trPr>
        <w:tc>
          <w:tcPr>
            <w:tcW w:w="5000" w:type="pct"/>
            <w:gridSpan w:val="3"/>
            <w:tcBorders>
              <w:top w:val="single" w:sz="4" w:space="0" w:color="999999"/>
              <w:left w:val="single" w:sz="4" w:space="0" w:color="999999"/>
              <w:bottom w:val="single" w:sz="4" w:space="0" w:color="999999"/>
              <w:right w:val="single" w:sz="4" w:space="0" w:color="999999"/>
            </w:tcBorders>
          </w:tcPr>
          <w:p w14:paraId="73DD0587" w14:textId="719C4063" w:rsidR="00FD4654" w:rsidRDefault="00FD4654" w:rsidP="0075660F">
            <w:pPr>
              <w:autoSpaceDE w:val="0"/>
              <w:autoSpaceDN w:val="0"/>
              <w:adjustRightInd w:val="0"/>
              <w:spacing w:before="120" w:after="12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Typologie de partenaires recherchés</w:t>
            </w:r>
            <w:r w:rsidR="003B2D63">
              <w:rPr>
                <w:rFonts w:ascii="Century Gothic" w:hAnsi="Century Gothic"/>
                <w:b/>
                <w:bCs/>
                <w:noProof/>
                <w:sz w:val="18"/>
                <w:szCs w:val="18"/>
                <w:lang w:eastAsia="en-US"/>
              </w:rPr>
              <w:t xml:space="preserve"> (le cas échéant)</w:t>
            </w:r>
          </w:p>
        </w:tc>
      </w:tr>
      <w:tr w:rsidR="00FD4654" w14:paraId="40A22C17" w14:textId="77777777" w:rsidTr="000D726C">
        <w:trPr>
          <w:trHeight w:val="510"/>
        </w:trPr>
        <w:tc>
          <w:tcPr>
            <w:tcW w:w="5000" w:type="pct"/>
            <w:gridSpan w:val="3"/>
            <w:tcBorders>
              <w:top w:val="single" w:sz="4" w:space="0" w:color="999999"/>
              <w:left w:val="single" w:sz="4" w:space="0" w:color="999999"/>
              <w:bottom w:val="single" w:sz="4" w:space="0" w:color="999999"/>
              <w:right w:val="single" w:sz="4" w:space="0" w:color="999999"/>
            </w:tcBorders>
          </w:tcPr>
          <w:p w14:paraId="4305628A" w14:textId="77777777" w:rsidR="00FD4654" w:rsidRPr="00FD4654" w:rsidRDefault="00FD4654" w:rsidP="0075660F">
            <w:pPr>
              <w:autoSpaceDE w:val="0"/>
              <w:autoSpaceDN w:val="0"/>
              <w:adjustRightInd w:val="0"/>
              <w:spacing w:before="120" w:after="120" w:line="276" w:lineRule="auto"/>
              <w:jc w:val="both"/>
              <w:rPr>
                <w:rFonts w:ascii="Century Gothic" w:hAnsi="Century Gothic"/>
                <w:bCs/>
                <w:noProof/>
                <w:sz w:val="18"/>
                <w:szCs w:val="18"/>
                <w:lang w:eastAsia="en-US"/>
              </w:rPr>
            </w:pPr>
            <w:r>
              <w:rPr>
                <w:rFonts w:ascii="Century Gothic" w:hAnsi="Century Gothic"/>
                <w:b/>
                <w:bCs/>
                <w:noProof/>
                <w:sz w:val="18"/>
                <w:szCs w:val="18"/>
                <w:lang w:eastAsia="en-US"/>
              </w:rPr>
              <w:t xml:space="preserve">Ressources et compétences du porteur de projet et de ses partenaires </w:t>
            </w:r>
            <w:r>
              <w:rPr>
                <w:rFonts w:ascii="Century Gothic" w:hAnsi="Century Gothic"/>
                <w:bCs/>
                <w:noProof/>
                <w:sz w:val="18"/>
                <w:szCs w:val="18"/>
                <w:lang w:eastAsia="en-US"/>
              </w:rPr>
              <w:t>(max ½ page)</w:t>
            </w:r>
          </w:p>
        </w:tc>
      </w:tr>
      <w:tr w:rsidR="00FD4654" w14:paraId="26D6B1D5" w14:textId="77777777" w:rsidTr="000D726C">
        <w:trPr>
          <w:trHeight w:val="510"/>
        </w:trPr>
        <w:tc>
          <w:tcPr>
            <w:tcW w:w="5000" w:type="pct"/>
            <w:gridSpan w:val="3"/>
            <w:tcBorders>
              <w:top w:val="single" w:sz="4" w:space="0" w:color="999999"/>
              <w:left w:val="single" w:sz="4" w:space="0" w:color="999999"/>
              <w:bottom w:val="single" w:sz="4" w:space="0" w:color="999999"/>
              <w:right w:val="single" w:sz="4" w:space="0" w:color="999999"/>
            </w:tcBorders>
          </w:tcPr>
          <w:p w14:paraId="28823923" w14:textId="77777777" w:rsidR="00FD4654" w:rsidRPr="00FD4654" w:rsidRDefault="00FD4654" w:rsidP="0075660F">
            <w:pPr>
              <w:autoSpaceDE w:val="0"/>
              <w:autoSpaceDN w:val="0"/>
              <w:adjustRightInd w:val="0"/>
              <w:spacing w:before="120" w:after="120" w:line="276" w:lineRule="auto"/>
              <w:jc w:val="both"/>
              <w:rPr>
                <w:rFonts w:ascii="Century Gothic" w:hAnsi="Century Gothic"/>
                <w:bCs/>
                <w:i/>
                <w:noProof/>
                <w:sz w:val="18"/>
                <w:szCs w:val="18"/>
                <w:lang w:eastAsia="en-US"/>
              </w:rPr>
            </w:pPr>
            <w:r>
              <w:rPr>
                <w:rFonts w:ascii="Century Gothic" w:hAnsi="Century Gothic"/>
                <w:b/>
                <w:bCs/>
                <w:noProof/>
                <w:sz w:val="18"/>
                <w:szCs w:val="18"/>
                <w:lang w:eastAsia="en-US"/>
              </w:rPr>
              <w:t xml:space="preserve">Montage financier du projet (montant, financement et accompagnement attendu) </w:t>
            </w:r>
            <w:r>
              <w:rPr>
                <w:rFonts w:ascii="Century Gothic" w:hAnsi="Century Gothic"/>
                <w:bCs/>
                <w:i/>
                <w:noProof/>
                <w:sz w:val="18"/>
                <w:szCs w:val="18"/>
                <w:lang w:eastAsia="en-US"/>
              </w:rPr>
              <w:t>(max ½ page)</w:t>
            </w:r>
          </w:p>
        </w:tc>
      </w:tr>
      <w:tr w:rsidR="00FD4654" w14:paraId="2B6ABBD2" w14:textId="77777777" w:rsidTr="000D726C">
        <w:trPr>
          <w:trHeight w:val="510"/>
        </w:trPr>
        <w:tc>
          <w:tcPr>
            <w:tcW w:w="5000" w:type="pct"/>
            <w:gridSpan w:val="3"/>
            <w:tcBorders>
              <w:top w:val="single" w:sz="4" w:space="0" w:color="999999"/>
              <w:left w:val="single" w:sz="4" w:space="0" w:color="999999"/>
              <w:bottom w:val="single" w:sz="4" w:space="0" w:color="999999"/>
              <w:right w:val="single" w:sz="4" w:space="0" w:color="999999"/>
            </w:tcBorders>
          </w:tcPr>
          <w:p w14:paraId="1571021C" w14:textId="77777777" w:rsidR="00FD4654" w:rsidRDefault="00FD4654" w:rsidP="0075660F">
            <w:pPr>
              <w:autoSpaceDE w:val="0"/>
              <w:autoSpaceDN w:val="0"/>
              <w:adjustRightInd w:val="0"/>
              <w:spacing w:before="120" w:after="12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 xml:space="preserve">Durée et phasage du projet, délai de mise en œuvre </w:t>
            </w:r>
            <w:r>
              <w:rPr>
                <w:rFonts w:ascii="Century Gothic" w:hAnsi="Century Gothic"/>
                <w:bCs/>
                <w:i/>
                <w:noProof/>
                <w:sz w:val="18"/>
                <w:szCs w:val="18"/>
                <w:lang w:eastAsia="en-US"/>
              </w:rPr>
              <w:t>(max ½ page)</w:t>
            </w:r>
          </w:p>
        </w:tc>
      </w:tr>
      <w:tr w:rsidR="000D726C" w14:paraId="5B55EE81" w14:textId="77777777" w:rsidTr="000D726C">
        <w:tc>
          <w:tcPr>
            <w:tcW w:w="5000" w:type="pct"/>
            <w:gridSpan w:val="3"/>
            <w:tcBorders>
              <w:top w:val="single" w:sz="4" w:space="0" w:color="999999"/>
              <w:left w:val="single" w:sz="4" w:space="0" w:color="999999"/>
              <w:bottom w:val="single" w:sz="4" w:space="0" w:color="999999"/>
              <w:right w:val="single" w:sz="4" w:space="0" w:color="999999"/>
            </w:tcBorders>
            <w:shd w:val="clear" w:color="auto" w:fill="E6E6E6"/>
          </w:tcPr>
          <w:p w14:paraId="0C98C1F8" w14:textId="77777777" w:rsidR="000D726C" w:rsidRDefault="000D726C" w:rsidP="0075660F">
            <w:pPr>
              <w:autoSpaceDE w:val="0"/>
              <w:autoSpaceDN w:val="0"/>
              <w:adjustRightInd w:val="0"/>
              <w:spacing w:line="276" w:lineRule="auto"/>
              <w:jc w:val="both"/>
              <w:rPr>
                <w:rFonts w:ascii="Century Gothic" w:hAnsi="Century Gothic"/>
                <w:b/>
                <w:bCs/>
                <w:noProof/>
                <w:sz w:val="12"/>
                <w:szCs w:val="12"/>
                <w:lang w:eastAsia="en-US"/>
              </w:rPr>
            </w:pPr>
          </w:p>
        </w:tc>
      </w:tr>
    </w:tbl>
    <w:p w14:paraId="0AABB989" w14:textId="77777777" w:rsidR="00B9657C" w:rsidRDefault="00B9657C" w:rsidP="0075660F">
      <w:pPr>
        <w:pStyle w:val="Titre1"/>
        <w:jc w:val="both"/>
      </w:pPr>
    </w:p>
    <w:p w14:paraId="78F97B1B" w14:textId="77777777" w:rsidR="00B9657C" w:rsidRDefault="00B9657C" w:rsidP="0075660F">
      <w:pPr>
        <w:jc w:val="both"/>
        <w:rPr>
          <w:rFonts w:asciiTheme="majorHAnsi" w:eastAsiaTheme="majorEastAsia" w:hAnsiTheme="majorHAnsi" w:cstheme="majorBidi"/>
          <w:color w:val="2F5496" w:themeColor="accent1" w:themeShade="BF"/>
          <w:sz w:val="32"/>
          <w:szCs w:val="32"/>
        </w:rPr>
      </w:pPr>
      <w:r>
        <w:br w:type="page"/>
      </w:r>
    </w:p>
    <w:p w14:paraId="15F4BFCF" w14:textId="77777777" w:rsidR="00FD4654" w:rsidRPr="000D726C" w:rsidRDefault="00FD4654" w:rsidP="0075660F">
      <w:pPr>
        <w:pStyle w:val="Titre1"/>
        <w:jc w:val="both"/>
      </w:pPr>
      <w:r>
        <w:lastRenderedPageBreak/>
        <w:t>Annexe 2 : fiche projet demandeur de solution</w:t>
      </w:r>
    </w:p>
    <w:p w14:paraId="696F2B8F" w14:textId="77777777" w:rsidR="000D726C" w:rsidRDefault="000D726C" w:rsidP="0075660F">
      <w:pPr>
        <w:jc w:val="both"/>
      </w:pPr>
    </w:p>
    <w:p w14:paraId="68E6F21A" w14:textId="77777777" w:rsidR="000D726C" w:rsidRDefault="000D726C" w:rsidP="0075660F">
      <w:pPr>
        <w:jc w:val="both"/>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08"/>
        <w:gridCol w:w="4913"/>
        <w:gridCol w:w="1941"/>
      </w:tblGrid>
      <w:tr w:rsidR="0028583C" w14:paraId="59C158F7" w14:textId="77777777" w:rsidTr="00E3197A">
        <w:trPr>
          <w:trHeight w:val="70"/>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E6E6E6"/>
          </w:tcPr>
          <w:p w14:paraId="7EE2B186" w14:textId="77777777" w:rsidR="0028583C" w:rsidRDefault="0028583C" w:rsidP="0075660F">
            <w:pPr>
              <w:autoSpaceDE w:val="0"/>
              <w:autoSpaceDN w:val="0"/>
              <w:adjustRightInd w:val="0"/>
              <w:spacing w:line="276" w:lineRule="auto"/>
              <w:jc w:val="both"/>
              <w:rPr>
                <w:rFonts w:ascii="Century Gothic" w:hAnsi="Century Gothic"/>
                <w:b/>
                <w:bCs/>
                <w:noProof/>
                <w:sz w:val="12"/>
                <w:szCs w:val="12"/>
                <w:lang w:eastAsia="en-US"/>
              </w:rPr>
            </w:pPr>
          </w:p>
        </w:tc>
      </w:tr>
      <w:tr w:rsidR="0028583C" w14:paraId="7E13094B" w14:textId="77777777" w:rsidTr="00E3197A">
        <w:trPr>
          <w:trHeight w:val="510"/>
        </w:trPr>
        <w:tc>
          <w:tcPr>
            <w:tcW w:w="1218" w:type="pct"/>
            <w:tcBorders>
              <w:top w:val="single" w:sz="4" w:space="0" w:color="999999"/>
              <w:left w:val="single" w:sz="4" w:space="0" w:color="999999"/>
              <w:bottom w:val="single" w:sz="4" w:space="0" w:color="999999"/>
              <w:right w:val="single" w:sz="4" w:space="0" w:color="999999"/>
            </w:tcBorders>
            <w:hideMark/>
          </w:tcPr>
          <w:p w14:paraId="697EDC29" w14:textId="77777777" w:rsidR="0028583C" w:rsidRDefault="0028583C" w:rsidP="0075660F">
            <w:pPr>
              <w:autoSpaceDE w:val="0"/>
              <w:autoSpaceDN w:val="0"/>
              <w:adjustRightInd w:val="0"/>
              <w:spacing w:before="120" w:after="12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 xml:space="preserve">Acronyme du site :         </w:t>
            </w:r>
          </w:p>
        </w:tc>
        <w:tc>
          <w:tcPr>
            <w:tcW w:w="2711" w:type="pct"/>
            <w:tcBorders>
              <w:top w:val="single" w:sz="4" w:space="0" w:color="999999"/>
              <w:left w:val="single" w:sz="4" w:space="0" w:color="999999"/>
              <w:bottom w:val="single" w:sz="4" w:space="0" w:color="999999"/>
              <w:right w:val="single" w:sz="4" w:space="0" w:color="999999"/>
            </w:tcBorders>
            <w:hideMark/>
          </w:tcPr>
          <w:p w14:paraId="42D10855" w14:textId="77777777" w:rsidR="0028583C" w:rsidRDefault="0028583C" w:rsidP="0075660F">
            <w:pPr>
              <w:autoSpaceDE w:val="0"/>
              <w:autoSpaceDN w:val="0"/>
              <w:adjustRightInd w:val="0"/>
              <w:spacing w:before="120" w:after="12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 xml:space="preserve">Porteur principal du projet : </w:t>
            </w:r>
            <w:r>
              <w:rPr>
                <w:rFonts w:ascii="Century Gothic" w:hAnsi="Century Gothic"/>
                <w:noProof/>
                <w:sz w:val="18"/>
                <w:szCs w:val="18"/>
                <w:lang w:eastAsia="en-US"/>
              </w:rPr>
              <w:t>Entité / responsable du projet et coordonnées</w:t>
            </w:r>
          </w:p>
        </w:tc>
        <w:tc>
          <w:tcPr>
            <w:tcW w:w="1071" w:type="pct"/>
            <w:tcBorders>
              <w:top w:val="single" w:sz="4" w:space="0" w:color="999999"/>
              <w:left w:val="single" w:sz="4" w:space="0" w:color="999999"/>
              <w:bottom w:val="single" w:sz="4" w:space="0" w:color="999999"/>
              <w:right w:val="single" w:sz="4" w:space="0" w:color="999999"/>
            </w:tcBorders>
            <w:hideMark/>
          </w:tcPr>
          <w:p w14:paraId="68396CE2" w14:textId="77777777" w:rsidR="0028583C" w:rsidRDefault="0028583C" w:rsidP="0075660F">
            <w:pPr>
              <w:autoSpaceDE w:val="0"/>
              <w:autoSpaceDN w:val="0"/>
              <w:adjustRightInd w:val="0"/>
              <w:spacing w:before="120" w:after="120" w:line="276" w:lineRule="auto"/>
              <w:jc w:val="both"/>
              <w:rPr>
                <w:rFonts w:ascii="Century Gothic" w:hAnsi="Century Gothic"/>
                <w:noProof/>
                <w:sz w:val="18"/>
                <w:szCs w:val="18"/>
                <w:lang w:eastAsia="en-US"/>
              </w:rPr>
            </w:pPr>
            <w:r>
              <w:rPr>
                <w:rFonts w:ascii="Century Gothic" w:hAnsi="Century Gothic"/>
                <w:b/>
                <w:bCs/>
                <w:noProof/>
                <w:sz w:val="18"/>
                <w:szCs w:val="18"/>
                <w:lang w:eastAsia="en-US"/>
              </w:rPr>
              <w:t xml:space="preserve">Date :   </w:t>
            </w:r>
            <w:r>
              <w:rPr>
                <w:rFonts w:ascii="Century Gothic" w:hAnsi="Century Gothic"/>
                <w:i/>
                <w:iCs/>
                <w:noProof/>
                <w:sz w:val="18"/>
                <w:szCs w:val="18"/>
                <w:lang w:eastAsia="en-US"/>
              </w:rPr>
              <w:t>JJ/MM/AAAA</w:t>
            </w:r>
          </w:p>
        </w:tc>
      </w:tr>
      <w:tr w:rsidR="0028583C" w14:paraId="4B01E503" w14:textId="77777777" w:rsidTr="00E3197A">
        <w:trPr>
          <w:trHeight w:val="510"/>
        </w:trPr>
        <w:tc>
          <w:tcPr>
            <w:tcW w:w="5000" w:type="pct"/>
            <w:gridSpan w:val="3"/>
            <w:tcBorders>
              <w:top w:val="single" w:sz="4" w:space="0" w:color="999999"/>
              <w:left w:val="single" w:sz="4" w:space="0" w:color="999999"/>
              <w:bottom w:val="single" w:sz="4" w:space="0" w:color="999999"/>
              <w:right w:val="single" w:sz="4" w:space="0" w:color="999999"/>
            </w:tcBorders>
            <w:hideMark/>
          </w:tcPr>
          <w:p w14:paraId="3B58715E" w14:textId="77777777" w:rsidR="0028583C" w:rsidRDefault="0028583C" w:rsidP="0075660F">
            <w:pPr>
              <w:autoSpaceDE w:val="0"/>
              <w:autoSpaceDN w:val="0"/>
              <w:adjustRightInd w:val="0"/>
              <w:spacing w:before="120" w:after="120" w:line="276" w:lineRule="auto"/>
              <w:jc w:val="both"/>
              <w:rPr>
                <w:rFonts w:ascii="Century Gothic" w:hAnsi="Century Gothic"/>
                <w:i/>
                <w:iCs/>
                <w:noProof/>
                <w:sz w:val="18"/>
                <w:szCs w:val="18"/>
                <w:lang w:eastAsia="en-US"/>
              </w:rPr>
            </w:pPr>
            <w:r>
              <w:rPr>
                <w:rFonts w:ascii="Century Gothic" w:hAnsi="Century Gothic"/>
                <w:b/>
                <w:bCs/>
                <w:noProof/>
                <w:sz w:val="18"/>
                <w:szCs w:val="18"/>
                <w:lang w:eastAsia="en-US"/>
              </w:rPr>
              <w:t xml:space="preserve">Titre du projet :            </w:t>
            </w:r>
          </w:p>
        </w:tc>
      </w:tr>
      <w:tr w:rsidR="0028583C" w14:paraId="0BE99B82" w14:textId="77777777" w:rsidTr="00E3197A">
        <w:trPr>
          <w:trHeight w:val="510"/>
        </w:trPr>
        <w:tc>
          <w:tcPr>
            <w:tcW w:w="5000" w:type="pct"/>
            <w:gridSpan w:val="3"/>
            <w:tcBorders>
              <w:top w:val="single" w:sz="4" w:space="0" w:color="999999"/>
              <w:left w:val="single" w:sz="4" w:space="0" w:color="999999"/>
              <w:bottom w:val="single" w:sz="4" w:space="0" w:color="999999"/>
              <w:right w:val="single" w:sz="4" w:space="0" w:color="999999"/>
            </w:tcBorders>
          </w:tcPr>
          <w:p w14:paraId="22BB70F8" w14:textId="77777777" w:rsidR="0028583C" w:rsidRDefault="0028583C" w:rsidP="0075660F">
            <w:pPr>
              <w:autoSpaceDE w:val="0"/>
              <w:autoSpaceDN w:val="0"/>
              <w:adjustRightInd w:val="0"/>
              <w:spacing w:before="120" w:after="12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Localisation du site :</w:t>
            </w:r>
          </w:p>
        </w:tc>
      </w:tr>
      <w:tr w:rsidR="0028583C" w14:paraId="36D06E2C" w14:textId="77777777" w:rsidTr="00E3197A">
        <w:trPr>
          <w:trHeight w:val="70"/>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E6E6E6"/>
          </w:tcPr>
          <w:p w14:paraId="1BFF93A9" w14:textId="77777777" w:rsidR="0028583C" w:rsidRDefault="0028583C" w:rsidP="0075660F">
            <w:pPr>
              <w:autoSpaceDE w:val="0"/>
              <w:autoSpaceDN w:val="0"/>
              <w:adjustRightInd w:val="0"/>
              <w:spacing w:line="276" w:lineRule="auto"/>
              <w:jc w:val="both"/>
              <w:rPr>
                <w:rFonts w:ascii="Century Gothic" w:hAnsi="Century Gothic"/>
                <w:b/>
                <w:bCs/>
                <w:noProof/>
                <w:sz w:val="12"/>
                <w:szCs w:val="12"/>
                <w:lang w:eastAsia="en-US"/>
              </w:rPr>
            </w:pPr>
          </w:p>
        </w:tc>
      </w:tr>
      <w:tr w:rsidR="0028583C" w14:paraId="4E131B87" w14:textId="77777777" w:rsidTr="00E3197A">
        <w:tc>
          <w:tcPr>
            <w:tcW w:w="5000" w:type="pct"/>
            <w:gridSpan w:val="3"/>
            <w:tcBorders>
              <w:top w:val="single" w:sz="4" w:space="0" w:color="999999"/>
              <w:left w:val="single" w:sz="4" w:space="0" w:color="999999"/>
              <w:bottom w:val="single" w:sz="4" w:space="0" w:color="999999"/>
              <w:right w:val="single" w:sz="4" w:space="0" w:color="999999"/>
            </w:tcBorders>
          </w:tcPr>
          <w:p w14:paraId="751F552A" w14:textId="77777777" w:rsidR="0028583C" w:rsidRPr="000D726C" w:rsidRDefault="0028583C" w:rsidP="0075660F">
            <w:pPr>
              <w:autoSpaceDE w:val="0"/>
              <w:autoSpaceDN w:val="0"/>
              <w:adjustRightInd w:val="0"/>
              <w:spacing w:before="60" w:after="60" w:line="276" w:lineRule="auto"/>
              <w:jc w:val="both"/>
              <w:rPr>
                <w:rFonts w:ascii="Century Gothic" w:hAnsi="Century Gothic"/>
                <w:i/>
                <w:iCs/>
                <w:noProof/>
                <w:sz w:val="18"/>
                <w:szCs w:val="18"/>
                <w:lang w:eastAsia="en-US"/>
              </w:rPr>
            </w:pPr>
            <w:r>
              <w:rPr>
                <w:rFonts w:ascii="Century Gothic" w:hAnsi="Century Gothic"/>
                <w:b/>
                <w:bCs/>
                <w:noProof/>
                <w:sz w:val="18"/>
                <w:szCs w:val="18"/>
                <w:lang w:eastAsia="en-US"/>
              </w:rPr>
              <w:t xml:space="preserve">Description du projet recherché </w:t>
            </w:r>
            <w:r>
              <w:rPr>
                <w:rFonts w:ascii="Century Gothic" w:hAnsi="Century Gothic"/>
                <w:i/>
                <w:iCs/>
                <w:noProof/>
                <w:sz w:val="18"/>
                <w:szCs w:val="18"/>
                <w:lang w:eastAsia="en-US"/>
              </w:rPr>
              <w:t>(maximum 20  lignes)</w:t>
            </w:r>
          </w:p>
        </w:tc>
      </w:tr>
      <w:tr w:rsidR="0028583C" w14:paraId="6A98F81A" w14:textId="77777777" w:rsidTr="00E3197A">
        <w:tc>
          <w:tcPr>
            <w:tcW w:w="5000" w:type="pct"/>
            <w:gridSpan w:val="3"/>
            <w:tcBorders>
              <w:top w:val="single" w:sz="4" w:space="0" w:color="999999"/>
              <w:left w:val="single" w:sz="4" w:space="0" w:color="999999"/>
              <w:bottom w:val="single" w:sz="4" w:space="0" w:color="999999"/>
              <w:right w:val="single" w:sz="4" w:space="0" w:color="999999"/>
            </w:tcBorders>
          </w:tcPr>
          <w:p w14:paraId="4E13D9D7" w14:textId="77777777" w:rsidR="0028583C" w:rsidRDefault="0028583C" w:rsidP="0075660F">
            <w:pPr>
              <w:autoSpaceDE w:val="0"/>
              <w:autoSpaceDN w:val="0"/>
              <w:adjustRightInd w:val="0"/>
              <w:spacing w:before="60" w:after="60" w:line="276" w:lineRule="auto"/>
              <w:jc w:val="both"/>
              <w:rPr>
                <w:rFonts w:ascii="Century Gothic" w:hAnsi="Century Gothic"/>
                <w:noProof/>
                <w:sz w:val="18"/>
                <w:szCs w:val="18"/>
                <w:lang w:eastAsia="en-US"/>
              </w:rPr>
            </w:pPr>
            <w:r>
              <w:rPr>
                <w:rFonts w:ascii="Century Gothic" w:hAnsi="Century Gothic"/>
                <w:b/>
                <w:bCs/>
                <w:noProof/>
                <w:sz w:val="18"/>
                <w:szCs w:val="18"/>
                <w:lang w:eastAsia="en-US"/>
              </w:rPr>
              <w:t xml:space="preserve">Flux à traiter, cahier des charges et contraintes techniques… </w:t>
            </w:r>
            <w:r>
              <w:rPr>
                <w:rFonts w:ascii="Century Gothic" w:hAnsi="Century Gothic"/>
                <w:i/>
                <w:iCs/>
                <w:noProof/>
                <w:sz w:val="18"/>
                <w:szCs w:val="18"/>
                <w:lang w:eastAsia="en-US"/>
              </w:rPr>
              <w:t>(maximum 20  lignes)</w:t>
            </w:r>
          </w:p>
        </w:tc>
      </w:tr>
      <w:tr w:rsidR="0028583C" w14:paraId="17ED43D9" w14:textId="77777777" w:rsidTr="00E3197A">
        <w:trPr>
          <w:trHeight w:val="470"/>
        </w:trPr>
        <w:tc>
          <w:tcPr>
            <w:tcW w:w="5000" w:type="pct"/>
            <w:gridSpan w:val="3"/>
            <w:tcBorders>
              <w:top w:val="single" w:sz="4" w:space="0" w:color="999999"/>
              <w:left w:val="single" w:sz="4" w:space="0" w:color="999999"/>
              <w:bottom w:val="single" w:sz="4" w:space="0" w:color="999999"/>
              <w:right w:val="single" w:sz="4" w:space="0" w:color="999999"/>
            </w:tcBorders>
            <w:vAlign w:val="center"/>
          </w:tcPr>
          <w:p w14:paraId="0972E5F9" w14:textId="77777777" w:rsidR="0028583C" w:rsidRPr="000D726C" w:rsidRDefault="0028583C" w:rsidP="0075660F">
            <w:pPr>
              <w:autoSpaceDE w:val="0"/>
              <w:autoSpaceDN w:val="0"/>
              <w:adjustRightInd w:val="0"/>
              <w:spacing w:before="60" w:after="60" w:line="276" w:lineRule="auto"/>
              <w:jc w:val="both"/>
              <w:rPr>
                <w:rFonts w:ascii="Century Gothic" w:hAnsi="Century Gothic"/>
                <w:i/>
                <w:iCs/>
                <w:noProof/>
                <w:sz w:val="18"/>
                <w:szCs w:val="18"/>
                <w:lang w:eastAsia="en-US"/>
              </w:rPr>
            </w:pPr>
            <w:r>
              <w:rPr>
                <w:rFonts w:ascii="Century Gothic" w:hAnsi="Century Gothic"/>
                <w:b/>
                <w:bCs/>
                <w:noProof/>
                <w:sz w:val="18"/>
                <w:szCs w:val="18"/>
                <w:lang w:eastAsia="en-US"/>
              </w:rPr>
              <w:t xml:space="preserve">Degré de confidentialité et stratégie de propriété industrielle </w:t>
            </w:r>
            <w:r>
              <w:rPr>
                <w:rFonts w:ascii="Century Gothic" w:hAnsi="Century Gothic"/>
                <w:i/>
                <w:iCs/>
                <w:noProof/>
                <w:sz w:val="18"/>
                <w:szCs w:val="18"/>
                <w:lang w:eastAsia="en-US"/>
              </w:rPr>
              <w:t>(maximum 10 lignes)</w:t>
            </w:r>
          </w:p>
        </w:tc>
      </w:tr>
      <w:tr w:rsidR="0028583C" w14:paraId="2134DFC5" w14:textId="77777777" w:rsidTr="00E3197A">
        <w:tc>
          <w:tcPr>
            <w:tcW w:w="5000" w:type="pct"/>
            <w:gridSpan w:val="3"/>
            <w:tcBorders>
              <w:top w:val="single" w:sz="4" w:space="0" w:color="999999"/>
              <w:left w:val="single" w:sz="4" w:space="0" w:color="999999"/>
              <w:bottom w:val="single" w:sz="4" w:space="0" w:color="999999"/>
              <w:right w:val="single" w:sz="4" w:space="0" w:color="999999"/>
            </w:tcBorders>
          </w:tcPr>
          <w:p w14:paraId="04508CC4" w14:textId="5F4D2371" w:rsidR="0028583C" w:rsidRPr="000D726C" w:rsidRDefault="0028583C" w:rsidP="00AA1AEB">
            <w:pPr>
              <w:autoSpaceDE w:val="0"/>
              <w:autoSpaceDN w:val="0"/>
              <w:adjustRightInd w:val="0"/>
              <w:spacing w:before="60" w:after="60" w:line="276" w:lineRule="auto"/>
              <w:jc w:val="both"/>
              <w:rPr>
                <w:rFonts w:ascii="Century Gothic" w:hAnsi="Century Gothic"/>
                <w:i/>
                <w:iCs/>
                <w:noProof/>
                <w:sz w:val="18"/>
                <w:szCs w:val="18"/>
                <w:lang w:eastAsia="en-US"/>
              </w:rPr>
            </w:pPr>
            <w:r>
              <w:rPr>
                <w:rFonts w:ascii="Century Gothic" w:hAnsi="Century Gothic"/>
                <w:b/>
                <w:bCs/>
                <w:noProof/>
                <w:sz w:val="18"/>
                <w:szCs w:val="18"/>
                <w:lang w:eastAsia="en-US"/>
              </w:rPr>
              <w:t xml:space="preserve">Retombées techniques, scientifiques, économiques et environnementales attendues </w:t>
            </w:r>
            <w:r>
              <w:rPr>
                <w:rFonts w:ascii="Century Gothic" w:hAnsi="Century Gothic"/>
                <w:i/>
                <w:iCs/>
                <w:noProof/>
                <w:sz w:val="18"/>
                <w:szCs w:val="18"/>
                <w:lang w:eastAsia="en-US"/>
              </w:rPr>
              <w:t>(maxi 10 lignes)</w:t>
            </w:r>
          </w:p>
        </w:tc>
      </w:tr>
      <w:tr w:rsidR="0028583C" w14:paraId="3DB01940" w14:textId="77777777" w:rsidTr="00E3197A">
        <w:tc>
          <w:tcPr>
            <w:tcW w:w="5000" w:type="pct"/>
            <w:gridSpan w:val="3"/>
            <w:tcBorders>
              <w:top w:val="single" w:sz="4" w:space="0" w:color="999999"/>
              <w:left w:val="single" w:sz="4" w:space="0" w:color="999999"/>
              <w:bottom w:val="single" w:sz="4" w:space="0" w:color="999999"/>
              <w:right w:val="single" w:sz="4" w:space="0" w:color="999999"/>
            </w:tcBorders>
            <w:shd w:val="clear" w:color="auto" w:fill="E6E6E6"/>
          </w:tcPr>
          <w:p w14:paraId="0479549F" w14:textId="77777777" w:rsidR="0028583C" w:rsidRDefault="0028583C" w:rsidP="0075660F">
            <w:pPr>
              <w:autoSpaceDE w:val="0"/>
              <w:autoSpaceDN w:val="0"/>
              <w:adjustRightInd w:val="0"/>
              <w:spacing w:line="276" w:lineRule="auto"/>
              <w:jc w:val="both"/>
              <w:rPr>
                <w:rFonts w:ascii="Century Gothic" w:hAnsi="Century Gothic"/>
                <w:noProof/>
                <w:sz w:val="12"/>
                <w:szCs w:val="12"/>
                <w:lang w:eastAsia="en-US"/>
              </w:rPr>
            </w:pPr>
          </w:p>
        </w:tc>
      </w:tr>
      <w:tr w:rsidR="0028583C" w14:paraId="5E4BC252" w14:textId="77777777" w:rsidTr="00E3197A">
        <w:trPr>
          <w:trHeight w:val="510"/>
        </w:trPr>
        <w:tc>
          <w:tcPr>
            <w:tcW w:w="5000" w:type="pct"/>
            <w:gridSpan w:val="3"/>
            <w:tcBorders>
              <w:top w:val="single" w:sz="4" w:space="0" w:color="999999"/>
              <w:left w:val="single" w:sz="4" w:space="0" w:color="999999"/>
              <w:bottom w:val="single" w:sz="4" w:space="0" w:color="999999"/>
              <w:right w:val="single" w:sz="4" w:space="0" w:color="999999"/>
            </w:tcBorders>
            <w:hideMark/>
          </w:tcPr>
          <w:p w14:paraId="27C57CA6" w14:textId="77777777" w:rsidR="0028583C" w:rsidRDefault="0028583C" w:rsidP="0075660F">
            <w:pPr>
              <w:autoSpaceDE w:val="0"/>
              <w:autoSpaceDN w:val="0"/>
              <w:adjustRightInd w:val="0"/>
              <w:spacing w:before="120" w:after="12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 xml:space="preserve">Partenaires du projet pré-identifiés </w:t>
            </w:r>
          </w:p>
        </w:tc>
      </w:tr>
      <w:tr w:rsidR="0028583C" w14:paraId="67305880" w14:textId="77777777" w:rsidTr="00E3197A">
        <w:trPr>
          <w:trHeight w:val="510"/>
        </w:trPr>
        <w:tc>
          <w:tcPr>
            <w:tcW w:w="5000" w:type="pct"/>
            <w:gridSpan w:val="3"/>
            <w:tcBorders>
              <w:top w:val="single" w:sz="4" w:space="0" w:color="999999"/>
              <w:left w:val="single" w:sz="4" w:space="0" w:color="999999"/>
              <w:bottom w:val="single" w:sz="4" w:space="0" w:color="999999"/>
              <w:right w:val="single" w:sz="4" w:space="0" w:color="999999"/>
            </w:tcBorders>
          </w:tcPr>
          <w:p w14:paraId="1B6AB1B6" w14:textId="77777777" w:rsidR="0028583C" w:rsidRDefault="0028583C" w:rsidP="0075660F">
            <w:pPr>
              <w:autoSpaceDE w:val="0"/>
              <w:autoSpaceDN w:val="0"/>
              <w:adjustRightInd w:val="0"/>
              <w:spacing w:before="120" w:after="12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Typologie de partenaires recherchés</w:t>
            </w:r>
          </w:p>
        </w:tc>
      </w:tr>
      <w:tr w:rsidR="0028583C" w14:paraId="15FF0E17" w14:textId="77777777" w:rsidTr="00E3197A">
        <w:trPr>
          <w:trHeight w:val="510"/>
        </w:trPr>
        <w:tc>
          <w:tcPr>
            <w:tcW w:w="5000" w:type="pct"/>
            <w:gridSpan w:val="3"/>
            <w:tcBorders>
              <w:top w:val="single" w:sz="4" w:space="0" w:color="999999"/>
              <w:left w:val="single" w:sz="4" w:space="0" w:color="999999"/>
              <w:bottom w:val="single" w:sz="4" w:space="0" w:color="999999"/>
              <w:right w:val="single" w:sz="4" w:space="0" w:color="999999"/>
            </w:tcBorders>
          </w:tcPr>
          <w:p w14:paraId="44C007FB" w14:textId="77777777" w:rsidR="0028583C" w:rsidRPr="00FD4654" w:rsidRDefault="0028583C" w:rsidP="0075660F">
            <w:pPr>
              <w:autoSpaceDE w:val="0"/>
              <w:autoSpaceDN w:val="0"/>
              <w:adjustRightInd w:val="0"/>
              <w:spacing w:before="120" w:after="120" w:line="276" w:lineRule="auto"/>
              <w:jc w:val="both"/>
              <w:rPr>
                <w:rFonts w:ascii="Century Gothic" w:hAnsi="Century Gothic"/>
                <w:bCs/>
                <w:noProof/>
                <w:sz w:val="18"/>
                <w:szCs w:val="18"/>
                <w:lang w:eastAsia="en-US"/>
              </w:rPr>
            </w:pPr>
            <w:r>
              <w:rPr>
                <w:rFonts w:ascii="Century Gothic" w:hAnsi="Century Gothic"/>
                <w:b/>
                <w:bCs/>
                <w:noProof/>
                <w:sz w:val="18"/>
                <w:szCs w:val="18"/>
                <w:lang w:eastAsia="en-US"/>
              </w:rPr>
              <w:t xml:space="preserve">Ressources et compétences du demandeur et de ses partenaires </w:t>
            </w:r>
            <w:r>
              <w:rPr>
                <w:rFonts w:ascii="Century Gothic" w:hAnsi="Century Gothic"/>
                <w:bCs/>
                <w:noProof/>
                <w:sz w:val="18"/>
                <w:szCs w:val="18"/>
                <w:lang w:eastAsia="en-US"/>
              </w:rPr>
              <w:t>(max ½ page)</w:t>
            </w:r>
          </w:p>
        </w:tc>
      </w:tr>
      <w:tr w:rsidR="0028583C" w14:paraId="5A4E29FB" w14:textId="77777777" w:rsidTr="00E3197A">
        <w:trPr>
          <w:trHeight w:val="510"/>
        </w:trPr>
        <w:tc>
          <w:tcPr>
            <w:tcW w:w="5000" w:type="pct"/>
            <w:gridSpan w:val="3"/>
            <w:tcBorders>
              <w:top w:val="single" w:sz="4" w:space="0" w:color="999999"/>
              <w:left w:val="single" w:sz="4" w:space="0" w:color="999999"/>
              <w:bottom w:val="single" w:sz="4" w:space="0" w:color="999999"/>
              <w:right w:val="single" w:sz="4" w:space="0" w:color="999999"/>
            </w:tcBorders>
          </w:tcPr>
          <w:p w14:paraId="74CC3D07" w14:textId="77777777" w:rsidR="0028583C" w:rsidRPr="00FD4654" w:rsidRDefault="0028583C" w:rsidP="0075660F">
            <w:pPr>
              <w:autoSpaceDE w:val="0"/>
              <w:autoSpaceDN w:val="0"/>
              <w:adjustRightInd w:val="0"/>
              <w:spacing w:before="120" w:after="120" w:line="276" w:lineRule="auto"/>
              <w:jc w:val="both"/>
              <w:rPr>
                <w:rFonts w:ascii="Century Gothic" w:hAnsi="Century Gothic"/>
                <w:bCs/>
                <w:i/>
                <w:noProof/>
                <w:sz w:val="18"/>
                <w:szCs w:val="18"/>
                <w:lang w:eastAsia="en-US"/>
              </w:rPr>
            </w:pPr>
            <w:r>
              <w:rPr>
                <w:rFonts w:ascii="Century Gothic" w:hAnsi="Century Gothic"/>
                <w:b/>
                <w:bCs/>
                <w:noProof/>
                <w:sz w:val="18"/>
                <w:szCs w:val="18"/>
                <w:lang w:eastAsia="en-US"/>
              </w:rPr>
              <w:t xml:space="preserve">Montage financier du projet, capacité de financement et d’apports en nature (immobilisation, capex, opex) </w:t>
            </w:r>
            <w:r>
              <w:rPr>
                <w:rFonts w:ascii="Century Gothic" w:hAnsi="Century Gothic"/>
                <w:bCs/>
                <w:i/>
                <w:noProof/>
                <w:sz w:val="18"/>
                <w:szCs w:val="18"/>
                <w:lang w:eastAsia="en-US"/>
              </w:rPr>
              <w:t>(max ½ page)</w:t>
            </w:r>
          </w:p>
        </w:tc>
      </w:tr>
      <w:tr w:rsidR="0028583C" w14:paraId="2E4291BF" w14:textId="77777777" w:rsidTr="00E3197A">
        <w:trPr>
          <w:trHeight w:val="510"/>
        </w:trPr>
        <w:tc>
          <w:tcPr>
            <w:tcW w:w="5000" w:type="pct"/>
            <w:gridSpan w:val="3"/>
            <w:tcBorders>
              <w:top w:val="single" w:sz="4" w:space="0" w:color="999999"/>
              <w:left w:val="single" w:sz="4" w:space="0" w:color="999999"/>
              <w:bottom w:val="single" w:sz="4" w:space="0" w:color="999999"/>
              <w:right w:val="single" w:sz="4" w:space="0" w:color="999999"/>
            </w:tcBorders>
          </w:tcPr>
          <w:p w14:paraId="03AD6684" w14:textId="77777777" w:rsidR="0028583C" w:rsidRDefault="0028583C" w:rsidP="0075660F">
            <w:pPr>
              <w:autoSpaceDE w:val="0"/>
              <w:autoSpaceDN w:val="0"/>
              <w:adjustRightInd w:val="0"/>
              <w:spacing w:before="120" w:after="120" w:line="276" w:lineRule="auto"/>
              <w:jc w:val="both"/>
              <w:rPr>
                <w:rFonts w:ascii="Century Gothic" w:hAnsi="Century Gothic"/>
                <w:b/>
                <w:bCs/>
                <w:noProof/>
                <w:sz w:val="18"/>
                <w:szCs w:val="18"/>
                <w:lang w:eastAsia="en-US"/>
              </w:rPr>
            </w:pPr>
            <w:r>
              <w:rPr>
                <w:rFonts w:ascii="Century Gothic" w:hAnsi="Century Gothic"/>
                <w:b/>
                <w:bCs/>
                <w:noProof/>
                <w:sz w:val="18"/>
                <w:szCs w:val="18"/>
                <w:lang w:eastAsia="en-US"/>
              </w:rPr>
              <w:t xml:space="preserve">Calendrier de disponibilité du site  </w:t>
            </w:r>
            <w:r>
              <w:rPr>
                <w:rFonts w:ascii="Century Gothic" w:hAnsi="Century Gothic"/>
                <w:bCs/>
                <w:i/>
                <w:noProof/>
                <w:sz w:val="18"/>
                <w:szCs w:val="18"/>
                <w:lang w:eastAsia="en-US"/>
              </w:rPr>
              <w:t>(max 1/3 page)</w:t>
            </w:r>
          </w:p>
        </w:tc>
      </w:tr>
      <w:tr w:rsidR="0028583C" w14:paraId="48FCFA75" w14:textId="77777777" w:rsidTr="00E3197A">
        <w:tc>
          <w:tcPr>
            <w:tcW w:w="5000" w:type="pct"/>
            <w:gridSpan w:val="3"/>
            <w:tcBorders>
              <w:top w:val="single" w:sz="4" w:space="0" w:color="999999"/>
              <w:left w:val="single" w:sz="4" w:space="0" w:color="999999"/>
              <w:bottom w:val="single" w:sz="4" w:space="0" w:color="999999"/>
              <w:right w:val="single" w:sz="4" w:space="0" w:color="999999"/>
            </w:tcBorders>
            <w:shd w:val="clear" w:color="auto" w:fill="E6E6E6"/>
          </w:tcPr>
          <w:p w14:paraId="3E6F2576" w14:textId="77777777" w:rsidR="0028583C" w:rsidRDefault="0028583C" w:rsidP="0075660F">
            <w:pPr>
              <w:autoSpaceDE w:val="0"/>
              <w:autoSpaceDN w:val="0"/>
              <w:adjustRightInd w:val="0"/>
              <w:spacing w:line="276" w:lineRule="auto"/>
              <w:jc w:val="both"/>
              <w:rPr>
                <w:rFonts w:ascii="Century Gothic" w:hAnsi="Century Gothic"/>
                <w:b/>
                <w:bCs/>
                <w:noProof/>
                <w:sz w:val="12"/>
                <w:szCs w:val="12"/>
                <w:lang w:eastAsia="en-US"/>
              </w:rPr>
            </w:pPr>
          </w:p>
        </w:tc>
      </w:tr>
    </w:tbl>
    <w:p w14:paraId="2C212522" w14:textId="39514E09" w:rsidR="000D726C" w:rsidRDefault="000D726C" w:rsidP="0075660F">
      <w:pPr>
        <w:jc w:val="both"/>
      </w:pPr>
    </w:p>
    <w:p w14:paraId="7F2B8309" w14:textId="434EF352" w:rsidR="0077290B" w:rsidRDefault="0077290B">
      <w:r>
        <w:br w:type="page"/>
      </w:r>
    </w:p>
    <w:p w14:paraId="795398B4" w14:textId="26487562" w:rsidR="0077290B" w:rsidRPr="000D726C" w:rsidRDefault="0077290B" w:rsidP="0077290B">
      <w:pPr>
        <w:pStyle w:val="Titre1"/>
        <w:jc w:val="both"/>
      </w:pPr>
      <w:r>
        <w:lastRenderedPageBreak/>
        <w:t xml:space="preserve">Annexe 3 : Définition de la maturité technologique </w:t>
      </w:r>
    </w:p>
    <w:p w14:paraId="46D95ECA" w14:textId="77777777" w:rsidR="0077290B" w:rsidRDefault="0077290B" w:rsidP="0075660F">
      <w:pPr>
        <w:jc w:val="both"/>
      </w:pPr>
    </w:p>
    <w:p w14:paraId="0E9A5FE6" w14:textId="2CC5D9FC" w:rsidR="000D726C" w:rsidRDefault="0077290B" w:rsidP="0075660F">
      <w:pPr>
        <w:jc w:val="both"/>
        <w:rPr>
          <w:rFonts w:cstheme="minorHAnsi"/>
          <w:color w:val="222222"/>
          <w:shd w:val="clear" w:color="auto" w:fill="FFFFFF"/>
        </w:rPr>
      </w:pPr>
      <w:r w:rsidRPr="006E6D0E">
        <w:rPr>
          <w:rFonts w:cstheme="minorHAnsi"/>
          <w:color w:val="222222"/>
          <w:shd w:val="clear" w:color="auto" w:fill="FFFFFF"/>
        </w:rPr>
        <w:t>L'échelle </w:t>
      </w:r>
      <w:r w:rsidRPr="006E6D0E">
        <w:rPr>
          <w:rFonts w:cstheme="minorHAnsi"/>
          <w:b/>
          <w:bCs/>
          <w:color w:val="222222"/>
          <w:shd w:val="clear" w:color="auto" w:fill="FFFFFF"/>
        </w:rPr>
        <w:t>TRL</w:t>
      </w:r>
      <w:r w:rsidRPr="006E6D0E">
        <w:rPr>
          <w:rFonts w:cstheme="minorHAnsi"/>
          <w:color w:val="222222"/>
          <w:shd w:val="clear" w:color="auto" w:fill="FFFFFF"/>
        </w:rPr>
        <w:t> (en anglais </w:t>
      </w:r>
      <w:r w:rsidRPr="006E6D0E">
        <w:rPr>
          <w:rStyle w:val="lang-en"/>
          <w:rFonts w:cstheme="minorHAnsi"/>
          <w:i/>
          <w:iCs/>
          <w:color w:val="222222"/>
          <w:shd w:val="clear" w:color="auto" w:fill="FFFFFF"/>
          <w:lang w:val="en"/>
        </w:rPr>
        <w:t>technology readiness level</w:t>
      </w:r>
      <w:r w:rsidRPr="006E6D0E">
        <w:rPr>
          <w:rFonts w:cstheme="minorHAnsi"/>
          <w:color w:val="222222"/>
          <w:shd w:val="clear" w:color="auto" w:fill="FFFFFF"/>
        </w:rPr>
        <w:t>, qui peut se traduire par </w:t>
      </w:r>
      <w:r w:rsidRPr="006E6D0E">
        <w:rPr>
          <w:rFonts w:cstheme="minorHAnsi"/>
          <w:b/>
          <w:bCs/>
          <w:color w:val="222222"/>
          <w:shd w:val="clear" w:color="auto" w:fill="FFFFFF"/>
        </w:rPr>
        <w:t>niveau de maturité technologique</w:t>
      </w:r>
      <w:r w:rsidRPr="006E6D0E">
        <w:rPr>
          <w:rFonts w:cstheme="minorHAnsi"/>
          <w:color w:val="222222"/>
          <w:shd w:val="clear" w:color="auto" w:fill="FFFFFF"/>
        </w:rPr>
        <w:t>) est un système de mesure employé pour évaluer le niveau de maturité d'une </w:t>
      </w:r>
      <w:r w:rsidRPr="003B45C7">
        <w:rPr>
          <w:rFonts w:cstheme="minorHAnsi"/>
          <w:shd w:val="clear" w:color="auto" w:fill="FFFFFF"/>
        </w:rPr>
        <w:t>technologie</w:t>
      </w:r>
      <w:r w:rsidRPr="006E6D0E">
        <w:rPr>
          <w:rFonts w:cstheme="minorHAnsi"/>
          <w:color w:val="222222"/>
          <w:shd w:val="clear" w:color="auto" w:fill="FFFFFF"/>
        </w:rPr>
        <w:t> (matériel, composants, périphériques, etc.), notamment en vue de financer la </w:t>
      </w:r>
      <w:r w:rsidRPr="003B45C7">
        <w:rPr>
          <w:rFonts w:cstheme="minorHAnsi"/>
          <w:shd w:val="clear" w:color="auto" w:fill="FFFFFF"/>
        </w:rPr>
        <w:t>recherche et son développement</w:t>
      </w:r>
      <w:r w:rsidRPr="006E6D0E">
        <w:rPr>
          <w:rFonts w:cstheme="minorHAnsi"/>
          <w:color w:val="222222"/>
          <w:shd w:val="clear" w:color="auto" w:fill="FFFFFF"/>
        </w:rPr>
        <w:t> ou dans la perspective d'intégrer cette technologie dans un système ou un sous-système opérationnel.</w:t>
      </w:r>
    </w:p>
    <w:p w14:paraId="7A168AF0" w14:textId="475F4346" w:rsidR="0077290B" w:rsidRDefault="0077290B" w:rsidP="0075660F">
      <w:pPr>
        <w:jc w:val="both"/>
        <w:rPr>
          <w:rFonts w:cstheme="minorHAnsi"/>
          <w:color w:val="222222"/>
          <w:shd w:val="clear" w:color="auto" w:fill="FFFFFF"/>
        </w:rPr>
      </w:pPr>
      <w:r>
        <w:rPr>
          <w:rFonts w:cstheme="minorHAnsi"/>
          <w:color w:val="222222"/>
          <w:shd w:val="clear" w:color="auto" w:fill="FFFFFF"/>
        </w:rPr>
        <w:t>Un exemple de définition (utilisée par le département de la défense aux Etats-Unis) est synthétisé dans le tableau ci-joint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806"/>
        <w:gridCol w:w="6250"/>
      </w:tblGrid>
      <w:tr w:rsidR="0077290B" w:rsidRPr="0077290B" w14:paraId="3876EDBF" w14:textId="77777777" w:rsidTr="0077290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0972873" w14:textId="77777777" w:rsidR="0077290B" w:rsidRPr="0077290B" w:rsidRDefault="0077290B" w:rsidP="0077290B">
            <w:pPr>
              <w:spacing w:before="240" w:after="240" w:line="240" w:lineRule="auto"/>
              <w:jc w:val="center"/>
              <w:rPr>
                <w:rFonts w:eastAsia="Times New Roman" w:cstheme="minorHAnsi"/>
                <w:b/>
                <w:bCs/>
                <w:color w:val="222222"/>
              </w:rPr>
            </w:pPr>
            <w:r w:rsidRPr="0077290B">
              <w:rPr>
                <w:rFonts w:eastAsia="Times New Roman" w:cstheme="minorHAnsi"/>
                <w:b/>
                <w:bCs/>
                <w:color w:val="222222"/>
              </w:rPr>
              <w:t>TRL / Niveau de maturité technologique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1F7BF69" w14:textId="77777777" w:rsidR="0077290B" w:rsidRPr="0077290B" w:rsidRDefault="0077290B" w:rsidP="0077290B">
            <w:pPr>
              <w:spacing w:before="240" w:after="240" w:line="240" w:lineRule="auto"/>
              <w:jc w:val="center"/>
              <w:rPr>
                <w:rFonts w:eastAsia="Times New Roman" w:cstheme="minorHAnsi"/>
                <w:b/>
                <w:bCs/>
                <w:color w:val="222222"/>
              </w:rPr>
            </w:pPr>
            <w:r w:rsidRPr="0077290B">
              <w:rPr>
                <w:rFonts w:eastAsia="Times New Roman" w:cstheme="minorHAnsi"/>
                <w:b/>
                <w:bCs/>
                <w:color w:val="222222"/>
              </w:rPr>
              <w:t>Description</w:t>
            </w:r>
          </w:p>
        </w:tc>
      </w:tr>
      <w:tr w:rsidR="0077290B" w:rsidRPr="0077290B" w14:paraId="7C01FA1B" w14:textId="77777777" w:rsidTr="0077290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8B809E"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1. Principes de base observés et rapportés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D20B23"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Plus bas niveau de maturité technologique. La recherche scientifique commence à se traduire en recherche appliquée et développement. Les exemples peuvent inclure des études papiers des propriétés de base d'une technologie.</w:t>
            </w:r>
          </w:p>
        </w:tc>
      </w:tr>
      <w:tr w:rsidR="0077290B" w:rsidRPr="0077290B" w14:paraId="668461A1" w14:textId="77777777" w:rsidTr="0077290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E4C714"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2. Concepts ou applications de la technologie formulés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B65269"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L'invention débute. Une fois les principes de base observés, les applications pratiques peuvent être inventées. L'application est spéculative et il n'y a aucune preuve ou analyse détaillée pour étayer cette hypothèse. Les exemples sont toujours limités à des études papier.</w:t>
            </w:r>
          </w:p>
        </w:tc>
      </w:tr>
      <w:tr w:rsidR="0077290B" w:rsidRPr="0077290B" w14:paraId="7702E00E" w14:textId="77777777" w:rsidTr="0077290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A2555F"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3. Fonction critique analysée et expérimentée ou preuve caractéristique du concept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B20F55" w14:textId="4E065446"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 xml:space="preserve">Une </w:t>
            </w:r>
            <w:r w:rsidR="00E503F2">
              <w:rPr>
                <w:rFonts w:eastAsia="Times New Roman" w:cstheme="minorHAnsi"/>
                <w:color w:val="222222"/>
              </w:rPr>
              <w:t>R&amp;D</w:t>
            </w:r>
            <w:r w:rsidRPr="0077290B">
              <w:rPr>
                <w:rFonts w:eastAsia="Times New Roman" w:cstheme="minorHAnsi"/>
                <w:color w:val="222222"/>
              </w:rPr>
              <w:t xml:space="preserve"> active est initiée. Ceci inclut des études analytiques et des études en laboratoire afin de valider physiquement les prévisions analytiques des éléments séparés de la technologie. Les exemples incluent des composants qui ne sont pas encore intégrés ou représentatifs.</w:t>
            </w:r>
          </w:p>
        </w:tc>
      </w:tr>
      <w:tr w:rsidR="0077290B" w:rsidRPr="0077290B" w14:paraId="01C3BB34" w14:textId="77777777" w:rsidTr="0077290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5A716C"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4. Validation en laboratoire du composant ou de l'artefact produit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BE0B48"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Les composants technologiques de base sont intégrés afin d'établir que toutes les parties fonctionnent ensemble. C'est une "basse fidélité" comparée au système final. Les exemples incluent l'intégration 'ad hoc' du matériel en laboratoire.</w:t>
            </w:r>
          </w:p>
        </w:tc>
      </w:tr>
      <w:tr w:rsidR="0077290B" w:rsidRPr="0077290B" w14:paraId="2BCCEB14" w14:textId="77777777" w:rsidTr="0077290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F15889"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5. Validation dans un environnement significatif du composant ou de l'artefact produit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DE64C6"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La fidélité de la technologie s'accroit significativement. Les composants technologiques basiques sont intégrés avec des éléments raisonnablement réalistes afin que la technologie soit testée dans un environnement simulé. Les exemples incluent l'intégration 'haute fidélité' en laboratoire des composants.</w:t>
            </w:r>
          </w:p>
        </w:tc>
      </w:tr>
      <w:tr w:rsidR="0077290B" w:rsidRPr="0077290B" w14:paraId="6E8AC349" w14:textId="77777777" w:rsidTr="0077290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632E5D"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lastRenderedPageBreak/>
              <w:t>6. Démonstration du modèle système / sous-système ou du prototype dans un environnement significatif</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F6864B"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Le modèle ou le système prototype représentatif (bien au-delà de l'artefact testé en TRL 5) est testé dans un environnement significatif. Il représente une avancée majeure dans la maturité démontrée d'une technologie. Les exemples incluent le test d'un prototype dans un laboratoire "haute fidélité" ou dans un environnement opérationnel simulé.</w:t>
            </w:r>
          </w:p>
        </w:tc>
      </w:tr>
      <w:tr w:rsidR="0077290B" w:rsidRPr="0077290B" w14:paraId="12DC7FE8" w14:textId="77777777" w:rsidTr="0077290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72B1C4"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7. Démonstration du système prototype en environnement opérationnel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1A9BEC"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Prototype dans un système planifié (ou sur le point de l'être). Représente une avancée majeure par rapport à TRL 6, nécessitant la démonstration d'un système prototype dans un environnement opérationnel, tel qu'un avion, véhicule... Les exemples incluent le test du prototype sur un avion d'essai.</w:t>
            </w:r>
          </w:p>
        </w:tc>
      </w:tr>
      <w:tr w:rsidR="0077290B" w:rsidRPr="0077290B" w14:paraId="273FD26D" w14:textId="77777777" w:rsidTr="0077290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23B296"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8. Système réel complet qualifié à travers des tests et des démonstrations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86ED05"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La preuve a été apportée que la technologie fonctionne sous sa forme finale et avec les conditions attendues. Dans la plupart des cas, cette TRL représente la fin du développement de vrais systèmes. Les exemples incluent des tests de développement et l'évaluation du système afin de déterminer s'il respecte les spécifications du design.</w:t>
            </w:r>
          </w:p>
        </w:tc>
      </w:tr>
      <w:tr w:rsidR="0077290B" w:rsidRPr="0077290B" w14:paraId="74DBCEDA" w14:textId="77777777" w:rsidTr="0077290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7871DE"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9. Système réel prouvé à travers des opérations / missions réussies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B53C6B" w14:textId="77777777" w:rsidR="0077290B" w:rsidRPr="0077290B" w:rsidRDefault="0077290B" w:rsidP="0077290B">
            <w:pPr>
              <w:spacing w:before="240" w:after="240" w:line="240" w:lineRule="auto"/>
              <w:rPr>
                <w:rFonts w:eastAsia="Times New Roman" w:cstheme="minorHAnsi"/>
                <w:color w:val="222222"/>
              </w:rPr>
            </w:pPr>
            <w:r w:rsidRPr="0077290B">
              <w:rPr>
                <w:rFonts w:eastAsia="Times New Roman" w:cstheme="minorHAnsi"/>
                <w:color w:val="222222"/>
              </w:rPr>
              <w:t>Application réelle de la technologie sous sa forme finale et en conditions de mission, semblables à celles rencontrées lors de tests opérationnels et d'évaluation. Dans tous les cas, c'est la fin des derniers aspects de corrections de problèmes (bug fixing) du développement de vrais systèmes. Les exemples incluent l'utilisation du système sous conditions de mission opérationnelle</w:t>
            </w:r>
          </w:p>
        </w:tc>
      </w:tr>
    </w:tbl>
    <w:p w14:paraId="3ED58D93" w14:textId="77777777" w:rsidR="0077290B" w:rsidRPr="006E6D0E" w:rsidRDefault="0077290B" w:rsidP="0075660F">
      <w:pPr>
        <w:jc w:val="both"/>
        <w:rPr>
          <w:rFonts w:cstheme="minorHAnsi"/>
        </w:rPr>
      </w:pPr>
    </w:p>
    <w:p w14:paraId="535DA629" w14:textId="77777777" w:rsidR="000D726C" w:rsidRPr="006E6D0E" w:rsidRDefault="000D726C" w:rsidP="0075660F">
      <w:pPr>
        <w:jc w:val="both"/>
        <w:rPr>
          <w:rFonts w:cstheme="minorHAnsi"/>
        </w:rPr>
      </w:pPr>
    </w:p>
    <w:sectPr w:rsidR="000D726C" w:rsidRPr="006E6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08E"/>
    <w:multiLevelType w:val="hybridMultilevel"/>
    <w:tmpl w:val="AD8C5FDA"/>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6ED471E"/>
    <w:multiLevelType w:val="hybridMultilevel"/>
    <w:tmpl w:val="1C265A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354223"/>
    <w:multiLevelType w:val="hybridMultilevel"/>
    <w:tmpl w:val="A0649F7C"/>
    <w:lvl w:ilvl="0" w:tplc="5B3C902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E100C4"/>
    <w:multiLevelType w:val="hybridMultilevel"/>
    <w:tmpl w:val="6EEA69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1A43B3"/>
    <w:multiLevelType w:val="multilevel"/>
    <w:tmpl w:val="85B27708"/>
    <w:lvl w:ilvl="0">
      <w:start w:val="1"/>
      <w:numFmt w:val="decimal"/>
      <w:lvlText w:val="%1."/>
      <w:lvlJc w:val="left"/>
      <w:pPr>
        <w:ind w:left="720"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5" w15:restartNumberingAfterBreak="0">
    <w:nsid w:val="6EA62541"/>
    <w:multiLevelType w:val="hybridMultilevel"/>
    <w:tmpl w:val="6854FD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FE14B11"/>
    <w:multiLevelType w:val="hybridMultilevel"/>
    <w:tmpl w:val="B8C6329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1B27A3B"/>
    <w:multiLevelType w:val="hybridMultilevel"/>
    <w:tmpl w:val="5C7A0C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EB"/>
    <w:rsid w:val="000D726C"/>
    <w:rsid w:val="00130670"/>
    <w:rsid w:val="001328AF"/>
    <w:rsid w:val="00190DBF"/>
    <w:rsid w:val="001E24ED"/>
    <w:rsid w:val="00240B95"/>
    <w:rsid w:val="0028583C"/>
    <w:rsid w:val="002C628A"/>
    <w:rsid w:val="002F4372"/>
    <w:rsid w:val="0033315B"/>
    <w:rsid w:val="00360259"/>
    <w:rsid w:val="00360DEB"/>
    <w:rsid w:val="003847C5"/>
    <w:rsid w:val="0039653D"/>
    <w:rsid w:val="003B211A"/>
    <w:rsid w:val="003B2D63"/>
    <w:rsid w:val="003B45C7"/>
    <w:rsid w:val="003E003F"/>
    <w:rsid w:val="003E2538"/>
    <w:rsid w:val="00406A9C"/>
    <w:rsid w:val="0042155C"/>
    <w:rsid w:val="004B40D3"/>
    <w:rsid w:val="004F6F50"/>
    <w:rsid w:val="0051152A"/>
    <w:rsid w:val="005712A0"/>
    <w:rsid w:val="00571485"/>
    <w:rsid w:val="00583D22"/>
    <w:rsid w:val="00621D2B"/>
    <w:rsid w:val="00671629"/>
    <w:rsid w:val="00695CB9"/>
    <w:rsid w:val="006A403A"/>
    <w:rsid w:val="006B5FF0"/>
    <w:rsid w:val="006D6C04"/>
    <w:rsid w:val="006D7BF6"/>
    <w:rsid w:val="006E5B4C"/>
    <w:rsid w:val="006E5EAB"/>
    <w:rsid w:val="006E6D0E"/>
    <w:rsid w:val="006F1F4C"/>
    <w:rsid w:val="007471D4"/>
    <w:rsid w:val="0075660F"/>
    <w:rsid w:val="0077290B"/>
    <w:rsid w:val="00775822"/>
    <w:rsid w:val="0078019A"/>
    <w:rsid w:val="007822A3"/>
    <w:rsid w:val="00794597"/>
    <w:rsid w:val="00824689"/>
    <w:rsid w:val="00884F7A"/>
    <w:rsid w:val="00890DAB"/>
    <w:rsid w:val="008A3E88"/>
    <w:rsid w:val="008B5162"/>
    <w:rsid w:val="008C6ECD"/>
    <w:rsid w:val="008F3A7E"/>
    <w:rsid w:val="00927449"/>
    <w:rsid w:val="00962649"/>
    <w:rsid w:val="00987F97"/>
    <w:rsid w:val="009E5A7E"/>
    <w:rsid w:val="00A868EA"/>
    <w:rsid w:val="00AA1AEB"/>
    <w:rsid w:val="00AE2BE3"/>
    <w:rsid w:val="00B417AB"/>
    <w:rsid w:val="00B45FEE"/>
    <w:rsid w:val="00B71A3A"/>
    <w:rsid w:val="00B9657C"/>
    <w:rsid w:val="00C2707E"/>
    <w:rsid w:val="00C80B73"/>
    <w:rsid w:val="00C97791"/>
    <w:rsid w:val="00CC2703"/>
    <w:rsid w:val="00CD337A"/>
    <w:rsid w:val="00D54DB2"/>
    <w:rsid w:val="00D9592A"/>
    <w:rsid w:val="00DC0F0B"/>
    <w:rsid w:val="00DE2886"/>
    <w:rsid w:val="00E239F3"/>
    <w:rsid w:val="00E503F2"/>
    <w:rsid w:val="00E51ED9"/>
    <w:rsid w:val="00E83081"/>
    <w:rsid w:val="00E932B3"/>
    <w:rsid w:val="00ED3E01"/>
    <w:rsid w:val="00F41BDD"/>
    <w:rsid w:val="00FD4654"/>
    <w:rsid w:val="00FE50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58F6"/>
  <w15:chartTrackingRefBased/>
  <w15:docId w15:val="{0CB0E39C-3C93-46A4-B286-5727A85C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B51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B51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B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2BE3"/>
    <w:pPr>
      <w:ind w:left="720"/>
      <w:contextualSpacing/>
    </w:pPr>
  </w:style>
  <w:style w:type="character" w:customStyle="1" w:styleId="Titre1Car">
    <w:name w:val="Titre 1 Car"/>
    <w:basedOn w:val="Policepardfaut"/>
    <w:link w:val="Titre1"/>
    <w:uiPriority w:val="9"/>
    <w:rsid w:val="008B516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B51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B5162"/>
    <w:rPr>
      <w:rFonts w:asciiTheme="majorHAnsi" w:eastAsiaTheme="majorEastAsia" w:hAnsiTheme="majorHAnsi" w:cstheme="majorBidi"/>
      <w:color w:val="1F3763" w:themeColor="accent1" w:themeShade="7F"/>
      <w:sz w:val="24"/>
      <w:szCs w:val="24"/>
    </w:rPr>
  </w:style>
  <w:style w:type="paragraph" w:styleId="Sansinterligne">
    <w:name w:val="No Spacing"/>
    <w:uiPriority w:val="1"/>
    <w:qFormat/>
    <w:rsid w:val="0028583C"/>
    <w:pPr>
      <w:spacing w:after="0" w:line="240" w:lineRule="auto"/>
    </w:pPr>
    <w:rPr>
      <w:rFonts w:ascii="Calibri" w:eastAsia="Calibri" w:hAnsi="Calibri" w:cs="Times New Roman"/>
      <w:lang w:eastAsia="en-US"/>
    </w:rPr>
  </w:style>
  <w:style w:type="character" w:styleId="Lienhypertexte">
    <w:name w:val="Hyperlink"/>
    <w:basedOn w:val="Policepardfaut"/>
    <w:uiPriority w:val="99"/>
    <w:unhideWhenUsed/>
    <w:rsid w:val="00CC2703"/>
    <w:rPr>
      <w:color w:val="0563C1" w:themeColor="hyperlink"/>
      <w:u w:val="single"/>
    </w:rPr>
  </w:style>
  <w:style w:type="character" w:customStyle="1" w:styleId="Mentionnonrsolue1">
    <w:name w:val="Mention non résolue1"/>
    <w:basedOn w:val="Policepardfaut"/>
    <w:uiPriority w:val="99"/>
    <w:semiHidden/>
    <w:unhideWhenUsed/>
    <w:rsid w:val="00CC2703"/>
    <w:rPr>
      <w:color w:val="605E5C"/>
      <w:shd w:val="clear" w:color="auto" w:fill="E1DFDD"/>
    </w:rPr>
  </w:style>
  <w:style w:type="character" w:styleId="Marquedecommentaire">
    <w:name w:val="annotation reference"/>
    <w:basedOn w:val="Policepardfaut"/>
    <w:uiPriority w:val="99"/>
    <w:semiHidden/>
    <w:unhideWhenUsed/>
    <w:rsid w:val="001E24ED"/>
    <w:rPr>
      <w:sz w:val="16"/>
      <w:szCs w:val="16"/>
    </w:rPr>
  </w:style>
  <w:style w:type="paragraph" w:styleId="Commentaire">
    <w:name w:val="annotation text"/>
    <w:basedOn w:val="Normal"/>
    <w:link w:val="CommentaireCar"/>
    <w:uiPriority w:val="99"/>
    <w:semiHidden/>
    <w:unhideWhenUsed/>
    <w:rsid w:val="001E24ED"/>
    <w:pPr>
      <w:spacing w:line="240" w:lineRule="auto"/>
    </w:pPr>
    <w:rPr>
      <w:sz w:val="20"/>
      <w:szCs w:val="20"/>
    </w:rPr>
  </w:style>
  <w:style w:type="character" w:customStyle="1" w:styleId="CommentaireCar">
    <w:name w:val="Commentaire Car"/>
    <w:basedOn w:val="Policepardfaut"/>
    <w:link w:val="Commentaire"/>
    <w:uiPriority w:val="99"/>
    <w:semiHidden/>
    <w:rsid w:val="001E24ED"/>
    <w:rPr>
      <w:sz w:val="20"/>
      <w:szCs w:val="20"/>
    </w:rPr>
  </w:style>
  <w:style w:type="paragraph" w:styleId="Objetducommentaire">
    <w:name w:val="annotation subject"/>
    <w:basedOn w:val="Commentaire"/>
    <w:next w:val="Commentaire"/>
    <w:link w:val="ObjetducommentaireCar"/>
    <w:uiPriority w:val="99"/>
    <w:semiHidden/>
    <w:unhideWhenUsed/>
    <w:rsid w:val="001E24ED"/>
    <w:rPr>
      <w:b/>
      <w:bCs/>
    </w:rPr>
  </w:style>
  <w:style w:type="character" w:customStyle="1" w:styleId="ObjetducommentaireCar">
    <w:name w:val="Objet du commentaire Car"/>
    <w:basedOn w:val="CommentaireCar"/>
    <w:link w:val="Objetducommentaire"/>
    <w:uiPriority w:val="99"/>
    <w:semiHidden/>
    <w:rsid w:val="001E24ED"/>
    <w:rPr>
      <w:b/>
      <w:bCs/>
      <w:sz w:val="20"/>
      <w:szCs w:val="20"/>
    </w:rPr>
  </w:style>
  <w:style w:type="paragraph" w:styleId="Textedebulles">
    <w:name w:val="Balloon Text"/>
    <w:basedOn w:val="Normal"/>
    <w:link w:val="TextedebullesCar"/>
    <w:uiPriority w:val="99"/>
    <w:semiHidden/>
    <w:unhideWhenUsed/>
    <w:rsid w:val="001E24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24ED"/>
    <w:rPr>
      <w:rFonts w:ascii="Segoe UI" w:hAnsi="Segoe UI" w:cs="Segoe UI"/>
      <w:sz w:val="18"/>
      <w:szCs w:val="18"/>
    </w:rPr>
  </w:style>
  <w:style w:type="character" w:customStyle="1" w:styleId="lang-en">
    <w:name w:val="lang-en"/>
    <w:basedOn w:val="Policepardfaut"/>
    <w:rsid w:val="0077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8118">
      <w:bodyDiv w:val="1"/>
      <w:marLeft w:val="0"/>
      <w:marRight w:val="0"/>
      <w:marTop w:val="0"/>
      <w:marBottom w:val="0"/>
      <w:divBdr>
        <w:top w:val="none" w:sz="0" w:space="0" w:color="auto"/>
        <w:left w:val="none" w:sz="0" w:space="0" w:color="auto"/>
        <w:bottom w:val="none" w:sz="0" w:space="0" w:color="auto"/>
        <w:right w:val="none" w:sz="0" w:space="0" w:color="auto"/>
      </w:divBdr>
    </w:div>
    <w:div w:id="179784410">
      <w:bodyDiv w:val="1"/>
      <w:marLeft w:val="0"/>
      <w:marRight w:val="0"/>
      <w:marTop w:val="0"/>
      <w:marBottom w:val="0"/>
      <w:divBdr>
        <w:top w:val="none" w:sz="0" w:space="0" w:color="auto"/>
        <w:left w:val="none" w:sz="0" w:space="0" w:color="auto"/>
        <w:bottom w:val="none" w:sz="0" w:space="0" w:color="auto"/>
        <w:right w:val="none" w:sz="0" w:space="0" w:color="auto"/>
      </w:divBdr>
    </w:div>
    <w:div w:id="936526421">
      <w:bodyDiv w:val="1"/>
      <w:marLeft w:val="0"/>
      <w:marRight w:val="0"/>
      <w:marTop w:val="0"/>
      <w:marBottom w:val="0"/>
      <w:divBdr>
        <w:top w:val="none" w:sz="0" w:space="0" w:color="auto"/>
        <w:left w:val="none" w:sz="0" w:space="0" w:color="auto"/>
        <w:bottom w:val="none" w:sz="0" w:space="0" w:color="auto"/>
        <w:right w:val="none" w:sz="0" w:space="0" w:color="auto"/>
      </w:divBdr>
    </w:div>
    <w:div w:id="1399985548">
      <w:bodyDiv w:val="1"/>
      <w:marLeft w:val="0"/>
      <w:marRight w:val="0"/>
      <w:marTop w:val="0"/>
      <w:marBottom w:val="0"/>
      <w:divBdr>
        <w:top w:val="none" w:sz="0" w:space="0" w:color="auto"/>
        <w:left w:val="none" w:sz="0" w:space="0" w:color="auto"/>
        <w:bottom w:val="none" w:sz="0" w:space="0" w:color="auto"/>
        <w:right w:val="none" w:sz="0" w:space="0" w:color="auto"/>
      </w:divBdr>
    </w:div>
    <w:div w:id="148165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Laure.hugonet@axelera.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team2.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xelera.org" TargetMode="External"/><Relationship Id="rId5" Type="http://schemas.openxmlformats.org/officeDocument/2006/relationships/image" Target="media/image1.png"/><Relationship Id="rId15" Type="http://schemas.openxmlformats.org/officeDocument/2006/relationships/hyperlink" Target="mailto:robotique@cme-france.fr" TargetMode="External"/><Relationship Id="rId10" Type="http://schemas.openxmlformats.org/officeDocument/2006/relationships/hyperlink" Target="https://www.conseil-national-industrie.gouv.fr/comites-strategiques-de-filiere/transformation-et-valorisation-des-dechets"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a.deblonde@team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2253</Words>
  <Characters>12396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Bertrand Deraigne</cp:lastModifiedBy>
  <cp:revision>3</cp:revision>
  <cp:lastPrinted>2019-07-04T12:49:00Z</cp:lastPrinted>
  <dcterms:created xsi:type="dcterms:W3CDTF">2019-07-04T12:50:00Z</dcterms:created>
  <dcterms:modified xsi:type="dcterms:W3CDTF">2019-07-04T12:55:00Z</dcterms:modified>
</cp:coreProperties>
</file>